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4B3" w:rsidRPr="000804B3" w:rsidRDefault="000804B3" w:rsidP="000804B3">
      <w:pPr>
        <w:spacing w:after="0" w:line="240" w:lineRule="auto"/>
        <w:jc w:val="center"/>
        <w:rPr>
          <w:rFonts w:ascii="Baskerville Old Face" w:eastAsia="Times New Roman" w:hAnsi="Baskerville Old Face" w:cs="Lucida Sans Unicode"/>
          <w:b/>
          <w:color w:val="0070C0"/>
          <w:sz w:val="32"/>
          <w:szCs w:val="32"/>
        </w:rPr>
      </w:pPr>
      <w:r w:rsidRPr="000804B3">
        <w:rPr>
          <w:rFonts w:ascii="Baskerville Old Face" w:eastAsia="Times New Roman" w:hAnsi="Baskerville Old Face" w:cs="Lucida Sans Unicode"/>
          <w:b/>
          <w:color w:val="0070C0"/>
          <w:sz w:val="32"/>
          <w:szCs w:val="32"/>
        </w:rPr>
        <w:t>GAYDON PARISH COUNCIL</w:t>
      </w:r>
    </w:p>
    <w:p w:rsidR="000804B3" w:rsidRPr="000804B3" w:rsidRDefault="000804B3" w:rsidP="000804B3">
      <w:pPr>
        <w:overflowPunct w:val="0"/>
        <w:autoSpaceDE w:val="0"/>
        <w:autoSpaceDN w:val="0"/>
        <w:adjustRightInd w:val="0"/>
        <w:spacing w:after="0" w:line="240" w:lineRule="auto"/>
        <w:jc w:val="center"/>
        <w:rPr>
          <w:rFonts w:ascii="Baskerville Old Face" w:hAnsi="Baskerville Old Face" w:cs="Lucida Sans Unicode"/>
          <w:color w:val="0070C0"/>
          <w:sz w:val="20"/>
          <w:szCs w:val="20"/>
        </w:rPr>
      </w:pPr>
      <w:r w:rsidRPr="000804B3">
        <w:rPr>
          <w:rFonts w:ascii="Baskerville Old Face" w:hAnsi="Baskerville Old Face" w:cs="Lucida Sans Unicode"/>
          <w:b/>
          <w:bCs/>
          <w:i/>
          <w:iCs/>
          <w:color w:val="0070C0"/>
          <w:sz w:val="20"/>
          <w:szCs w:val="20"/>
        </w:rPr>
        <w:t>Clerk to the Council</w:t>
      </w:r>
      <w:r w:rsidRPr="000804B3">
        <w:rPr>
          <w:rFonts w:ascii="Baskerville Old Face" w:hAnsi="Baskerville Old Face" w:cs="Lucida Sans Unicode"/>
          <w:b/>
          <w:bCs/>
          <w:color w:val="0070C0"/>
          <w:sz w:val="20"/>
          <w:szCs w:val="20"/>
        </w:rPr>
        <w:t>:</w:t>
      </w:r>
      <w:r w:rsidRPr="000804B3">
        <w:rPr>
          <w:rFonts w:ascii="Baskerville Old Face" w:hAnsi="Baskerville Old Face" w:cs="Lucida Sans Unicode"/>
          <w:color w:val="0070C0"/>
          <w:sz w:val="20"/>
          <w:szCs w:val="20"/>
        </w:rPr>
        <w:t xml:space="preserve"> Corinne Hill, Gaydon Fields Farm, Gaydon, Warwickshire CV35 0HF</w:t>
      </w:r>
    </w:p>
    <w:p w:rsidR="000804B3" w:rsidRPr="000804B3" w:rsidRDefault="000804B3" w:rsidP="000804B3">
      <w:pPr>
        <w:overflowPunct w:val="0"/>
        <w:autoSpaceDE w:val="0"/>
        <w:autoSpaceDN w:val="0"/>
        <w:adjustRightInd w:val="0"/>
        <w:spacing w:after="0" w:line="240" w:lineRule="auto"/>
        <w:jc w:val="center"/>
        <w:rPr>
          <w:rFonts w:ascii="Baskerville Old Face" w:hAnsi="Baskerville Old Face" w:cs="Lucida Sans Unicode"/>
          <w:color w:val="0070C0"/>
          <w:sz w:val="20"/>
          <w:szCs w:val="20"/>
        </w:rPr>
      </w:pPr>
      <w:r w:rsidRPr="000804B3">
        <w:rPr>
          <w:rFonts w:ascii="Baskerville Old Face" w:hAnsi="Baskerville Old Face" w:cs="Lucida Sans Unicode"/>
          <w:color w:val="0070C0"/>
          <w:sz w:val="20"/>
          <w:szCs w:val="20"/>
        </w:rPr>
        <w:t>01926 641220</w:t>
      </w:r>
    </w:p>
    <w:p w:rsidR="000804B3" w:rsidRPr="000804B3" w:rsidRDefault="000804B3" w:rsidP="000804B3">
      <w:pPr>
        <w:pBdr>
          <w:bottom w:val="single" w:sz="6" w:space="1" w:color="auto"/>
        </w:pBdr>
        <w:overflowPunct w:val="0"/>
        <w:autoSpaceDE w:val="0"/>
        <w:autoSpaceDN w:val="0"/>
        <w:adjustRightInd w:val="0"/>
        <w:spacing w:after="0" w:line="240" w:lineRule="auto"/>
        <w:jc w:val="center"/>
        <w:rPr>
          <w:rFonts w:ascii="Baskerville Old Face" w:hAnsi="Baskerville Old Face" w:cs="Lucida Sans Unicode"/>
          <w:color w:val="0070C0"/>
          <w:sz w:val="20"/>
          <w:szCs w:val="20"/>
        </w:rPr>
      </w:pPr>
      <w:r w:rsidRPr="000804B3">
        <w:rPr>
          <w:rFonts w:ascii="Baskerville Old Face" w:hAnsi="Baskerville Old Face" w:cs="Lucida Sans Unicode"/>
          <w:color w:val="0070C0"/>
          <w:sz w:val="20"/>
          <w:szCs w:val="20"/>
        </w:rPr>
        <w:t xml:space="preserve">Email: parishclerk86@btinternet.com </w:t>
      </w:r>
    </w:p>
    <w:p w:rsidR="000804B3" w:rsidRPr="000804B3" w:rsidRDefault="000804B3" w:rsidP="000804B3">
      <w:pPr>
        <w:jc w:val="center"/>
        <w:rPr>
          <w:sz w:val="24"/>
          <w:szCs w:val="24"/>
          <w:lang w:eastAsia="en-GB"/>
        </w:rPr>
      </w:pPr>
      <w:r w:rsidRPr="000804B3">
        <w:rPr>
          <w:sz w:val="24"/>
          <w:szCs w:val="24"/>
          <w:lang w:eastAsia="en-GB"/>
        </w:rPr>
        <w:t xml:space="preserve"> </w:t>
      </w:r>
      <w:r w:rsidRPr="000804B3">
        <w:rPr>
          <w:sz w:val="24"/>
          <w:szCs w:val="24"/>
          <w:lang w:eastAsia="en-GB"/>
        </w:rPr>
        <w:tab/>
      </w:r>
      <w:r w:rsidRPr="000804B3">
        <w:rPr>
          <w:sz w:val="24"/>
          <w:szCs w:val="24"/>
          <w:lang w:eastAsia="en-GB"/>
        </w:rPr>
        <w:tab/>
      </w:r>
      <w:r w:rsidRPr="000804B3">
        <w:rPr>
          <w:sz w:val="24"/>
          <w:szCs w:val="24"/>
          <w:lang w:eastAsia="en-GB"/>
        </w:rPr>
        <w:tab/>
      </w:r>
      <w:r w:rsidRPr="000804B3">
        <w:rPr>
          <w:sz w:val="24"/>
          <w:szCs w:val="24"/>
          <w:lang w:eastAsia="en-GB"/>
        </w:rPr>
        <w:tab/>
      </w:r>
      <w:r w:rsidRPr="000804B3">
        <w:rPr>
          <w:sz w:val="24"/>
          <w:szCs w:val="24"/>
          <w:lang w:eastAsia="en-GB"/>
        </w:rPr>
        <w:tab/>
      </w:r>
      <w:r w:rsidRPr="000804B3">
        <w:rPr>
          <w:sz w:val="24"/>
          <w:szCs w:val="24"/>
          <w:lang w:eastAsia="en-GB"/>
        </w:rPr>
        <w:tab/>
      </w:r>
      <w:r w:rsidRPr="000804B3">
        <w:rPr>
          <w:sz w:val="24"/>
          <w:szCs w:val="24"/>
          <w:lang w:eastAsia="en-GB"/>
        </w:rPr>
        <w:tab/>
      </w:r>
      <w:r w:rsidRPr="000804B3">
        <w:rPr>
          <w:sz w:val="24"/>
          <w:szCs w:val="24"/>
          <w:lang w:eastAsia="en-GB"/>
        </w:rPr>
        <w:tab/>
      </w:r>
      <w:r w:rsidRPr="000804B3">
        <w:rPr>
          <w:sz w:val="24"/>
          <w:szCs w:val="24"/>
          <w:lang w:eastAsia="en-GB"/>
        </w:rPr>
        <w:tab/>
      </w:r>
      <w:r>
        <w:rPr>
          <w:sz w:val="24"/>
          <w:szCs w:val="24"/>
          <w:lang w:eastAsia="en-GB"/>
        </w:rPr>
        <w:t>2</w:t>
      </w:r>
      <w:r w:rsidR="003F31AF">
        <w:rPr>
          <w:sz w:val="24"/>
          <w:szCs w:val="24"/>
          <w:lang w:eastAsia="en-GB"/>
        </w:rPr>
        <w:t>6</w:t>
      </w:r>
      <w:r w:rsidR="003F31AF">
        <w:rPr>
          <w:sz w:val="24"/>
          <w:szCs w:val="24"/>
          <w:vertAlign w:val="superscript"/>
          <w:lang w:eastAsia="en-GB"/>
        </w:rPr>
        <w:t>th</w:t>
      </w:r>
      <w:r w:rsidRPr="000804B3">
        <w:rPr>
          <w:sz w:val="24"/>
          <w:szCs w:val="24"/>
          <w:lang w:eastAsia="en-GB"/>
        </w:rPr>
        <w:t xml:space="preserve"> </w:t>
      </w:r>
      <w:r>
        <w:rPr>
          <w:sz w:val="24"/>
          <w:szCs w:val="24"/>
          <w:lang w:eastAsia="en-GB"/>
        </w:rPr>
        <w:t>April 2016</w:t>
      </w:r>
    </w:p>
    <w:p w:rsidR="00597B5E" w:rsidRDefault="000804B3">
      <w:pPr>
        <w:rPr>
          <w:b/>
          <w:sz w:val="24"/>
          <w:szCs w:val="24"/>
          <w:u w:val="single"/>
        </w:rPr>
      </w:pPr>
      <w:r w:rsidRPr="000804B3">
        <w:rPr>
          <w:b/>
          <w:sz w:val="24"/>
          <w:szCs w:val="24"/>
          <w:u w:val="single"/>
        </w:rPr>
        <w:t>Response to Core Strategy Modifications March 2016:</w:t>
      </w:r>
    </w:p>
    <w:p w:rsidR="004B2575" w:rsidRDefault="004B2575" w:rsidP="00E47C12">
      <w:pPr>
        <w:pStyle w:val="NoSpacing"/>
        <w:jc w:val="both"/>
      </w:pPr>
      <w:r>
        <w:t>Responding to this document</w:t>
      </w:r>
      <w:r w:rsidR="00E47C12">
        <w:t>,</w:t>
      </w:r>
      <w:r>
        <w:t xml:space="preserve"> after responding to the Supplementary Planning Documents and as outline planning for GLH is being sought from SDC</w:t>
      </w:r>
      <w:r w:rsidR="008B2DFF">
        <w:t>,</w:t>
      </w:r>
      <w:bookmarkStart w:id="0" w:name="_GoBack"/>
      <w:bookmarkEnd w:id="0"/>
      <w:r>
        <w:t xml:space="preserve"> is wrong. So much of what Gaydon Parish Council (GPC) has been asked to respond to, appears to be a rehash of what has been proposed at the start of the process: little reflects any of the positive contributions or questions that have previously been offered.</w:t>
      </w:r>
    </w:p>
    <w:p w:rsidR="00067739" w:rsidRPr="00067739" w:rsidRDefault="00067739" w:rsidP="00E47C12">
      <w:pPr>
        <w:pStyle w:val="NoSpacing"/>
        <w:jc w:val="both"/>
        <w:rPr>
          <w:sz w:val="12"/>
          <w:szCs w:val="12"/>
        </w:rPr>
      </w:pPr>
    </w:p>
    <w:p w:rsidR="004B2575" w:rsidRDefault="004B2575" w:rsidP="00E47C12">
      <w:pPr>
        <w:pStyle w:val="NoSpacing"/>
        <w:jc w:val="both"/>
      </w:pPr>
      <w:r>
        <w:t xml:space="preserve">Indeed, the Core Strategy has now been forced to take on virtually all of the 5 ‘options’ that were once being suggested: even the politically inconvenient ones – all because of poor procedure from the start. This appears to be a continuation of this process and as a result, SDC </w:t>
      </w:r>
      <w:r w:rsidR="00E47C12">
        <w:t>now has</w:t>
      </w:r>
      <w:r>
        <w:t xml:space="preserve"> to include proposals that will fundamentally change the district.</w:t>
      </w:r>
    </w:p>
    <w:p w:rsidR="00067739" w:rsidRPr="00067739" w:rsidRDefault="00067739" w:rsidP="00E47C12">
      <w:pPr>
        <w:pStyle w:val="NoSpacing"/>
        <w:jc w:val="both"/>
        <w:rPr>
          <w:sz w:val="12"/>
          <w:szCs w:val="12"/>
        </w:rPr>
      </w:pPr>
    </w:p>
    <w:p w:rsidR="004B2575" w:rsidRPr="004B2575" w:rsidRDefault="004B2575" w:rsidP="00E47C12">
      <w:pPr>
        <w:pStyle w:val="NoSpacing"/>
        <w:jc w:val="both"/>
      </w:pPr>
      <w:r>
        <w:t xml:space="preserve">SDC is </w:t>
      </w:r>
      <w:r w:rsidR="00BE2E60">
        <w:t>urged by GPC to</w:t>
      </w:r>
      <w:r>
        <w:t xml:space="preserve"> embrace positive feedback with regard to infrastructure if the Core Strategy </w:t>
      </w:r>
      <w:r w:rsidR="00BE2E60">
        <w:t>(</w:t>
      </w:r>
      <w:r>
        <w:t>with these modifications</w:t>
      </w:r>
      <w:r w:rsidR="00BE2E60">
        <w:t>) is</w:t>
      </w:r>
      <w:r>
        <w:t xml:space="preserve"> not to haunt the District in the medium and longer term.</w:t>
      </w:r>
      <w:r w:rsidR="00BE2E60">
        <w:t xml:space="preserve"> The very prosperity, attractiveness and distinctiveness of the Stratford District </w:t>
      </w:r>
      <w:proofErr w:type="gramStart"/>
      <w:r w:rsidR="00821D47">
        <w:t>is</w:t>
      </w:r>
      <w:proofErr w:type="gramEnd"/>
      <w:r w:rsidR="00BE2E60">
        <w:t xml:space="preserve"> at stake.</w:t>
      </w:r>
    </w:p>
    <w:tbl>
      <w:tblPr>
        <w:tblStyle w:val="TableGrid"/>
        <w:tblW w:w="0" w:type="auto"/>
        <w:tblLook w:val="04A0" w:firstRow="1" w:lastRow="0" w:firstColumn="1" w:lastColumn="0" w:noHBand="0" w:noVBand="1"/>
      </w:tblPr>
      <w:tblGrid>
        <w:gridCol w:w="1283"/>
        <w:gridCol w:w="1405"/>
        <w:gridCol w:w="6554"/>
      </w:tblGrid>
      <w:tr w:rsidR="000804B3" w:rsidTr="000804B3">
        <w:tc>
          <w:tcPr>
            <w:tcW w:w="1242" w:type="dxa"/>
            <w:shd w:val="clear" w:color="auto" w:fill="EAF1DD" w:themeFill="accent3" w:themeFillTint="33"/>
          </w:tcPr>
          <w:p w:rsidR="000804B3" w:rsidRPr="000804B3" w:rsidRDefault="000804B3">
            <w:pPr>
              <w:rPr>
                <w:b/>
                <w:sz w:val="20"/>
                <w:szCs w:val="20"/>
              </w:rPr>
            </w:pPr>
            <w:r w:rsidRPr="000804B3">
              <w:rPr>
                <w:b/>
                <w:sz w:val="20"/>
                <w:szCs w:val="20"/>
              </w:rPr>
              <w:t>Main Modification Reference</w:t>
            </w:r>
          </w:p>
        </w:tc>
        <w:tc>
          <w:tcPr>
            <w:tcW w:w="1134" w:type="dxa"/>
            <w:shd w:val="clear" w:color="auto" w:fill="EAF1DD" w:themeFill="accent3" w:themeFillTint="33"/>
          </w:tcPr>
          <w:p w:rsidR="000804B3" w:rsidRPr="000804B3" w:rsidRDefault="000804B3">
            <w:pPr>
              <w:rPr>
                <w:b/>
                <w:sz w:val="20"/>
                <w:szCs w:val="20"/>
              </w:rPr>
            </w:pPr>
            <w:r w:rsidRPr="000804B3">
              <w:rPr>
                <w:b/>
                <w:sz w:val="20"/>
                <w:szCs w:val="20"/>
              </w:rPr>
              <w:t>Submission Core Strategy Section/Policy</w:t>
            </w:r>
          </w:p>
        </w:tc>
        <w:tc>
          <w:tcPr>
            <w:tcW w:w="6866" w:type="dxa"/>
            <w:shd w:val="clear" w:color="auto" w:fill="EAF1DD" w:themeFill="accent3" w:themeFillTint="33"/>
          </w:tcPr>
          <w:p w:rsidR="000804B3" w:rsidRPr="000804B3" w:rsidRDefault="000804B3">
            <w:pPr>
              <w:rPr>
                <w:b/>
                <w:sz w:val="20"/>
                <w:szCs w:val="20"/>
              </w:rPr>
            </w:pPr>
            <w:r w:rsidRPr="000804B3">
              <w:rPr>
                <w:b/>
                <w:sz w:val="20"/>
                <w:szCs w:val="20"/>
              </w:rPr>
              <w:t>Gaydon Parish Council Response</w:t>
            </w:r>
          </w:p>
        </w:tc>
      </w:tr>
      <w:tr w:rsidR="000804B3" w:rsidTr="000804B3">
        <w:tc>
          <w:tcPr>
            <w:tcW w:w="1242" w:type="dxa"/>
          </w:tcPr>
          <w:p w:rsidR="000804B3" w:rsidRPr="000804B3" w:rsidRDefault="00A9192C">
            <w:pPr>
              <w:rPr>
                <w:sz w:val="20"/>
                <w:szCs w:val="20"/>
              </w:rPr>
            </w:pPr>
            <w:r>
              <w:rPr>
                <w:sz w:val="20"/>
                <w:szCs w:val="20"/>
              </w:rPr>
              <w:t>MM01</w:t>
            </w:r>
          </w:p>
        </w:tc>
        <w:tc>
          <w:tcPr>
            <w:tcW w:w="1134" w:type="dxa"/>
          </w:tcPr>
          <w:p w:rsidR="000804B3" w:rsidRPr="000804B3" w:rsidRDefault="00A9192C">
            <w:pPr>
              <w:rPr>
                <w:sz w:val="20"/>
                <w:szCs w:val="20"/>
              </w:rPr>
            </w:pPr>
            <w:r>
              <w:rPr>
                <w:sz w:val="20"/>
                <w:szCs w:val="20"/>
              </w:rPr>
              <w:t>CS1.1</w:t>
            </w:r>
          </w:p>
        </w:tc>
        <w:tc>
          <w:tcPr>
            <w:tcW w:w="6866" w:type="dxa"/>
          </w:tcPr>
          <w:p w:rsidR="000804B3" w:rsidRDefault="00A9192C" w:rsidP="007914E5">
            <w:pPr>
              <w:jc w:val="both"/>
              <w:rPr>
                <w:sz w:val="20"/>
                <w:szCs w:val="20"/>
              </w:rPr>
            </w:pPr>
            <w:r>
              <w:rPr>
                <w:sz w:val="20"/>
                <w:szCs w:val="20"/>
              </w:rPr>
              <w:t>Southam will need to have matched infrastructure improvements identified at an early stage.</w:t>
            </w:r>
          </w:p>
          <w:p w:rsidR="00A9192C" w:rsidRPr="00106DA8" w:rsidRDefault="00A9192C" w:rsidP="007914E5">
            <w:pPr>
              <w:jc w:val="both"/>
              <w:rPr>
                <w:sz w:val="12"/>
                <w:szCs w:val="12"/>
              </w:rPr>
            </w:pPr>
          </w:p>
          <w:p w:rsidR="00A9192C" w:rsidRDefault="00A9192C" w:rsidP="007914E5">
            <w:pPr>
              <w:jc w:val="both"/>
              <w:rPr>
                <w:sz w:val="20"/>
                <w:szCs w:val="20"/>
              </w:rPr>
            </w:pPr>
            <w:r>
              <w:rPr>
                <w:sz w:val="20"/>
                <w:szCs w:val="20"/>
              </w:rPr>
              <w:t xml:space="preserve">Two controversial new settlements (instead of one) and a big expansion of Southam because the 10800 houses </w:t>
            </w:r>
            <w:r w:rsidR="00821D47">
              <w:rPr>
                <w:sz w:val="20"/>
                <w:szCs w:val="20"/>
              </w:rPr>
              <w:t>have</w:t>
            </w:r>
            <w:r>
              <w:rPr>
                <w:sz w:val="20"/>
                <w:szCs w:val="20"/>
              </w:rPr>
              <w:t xml:space="preserve"> been increased to 14600 with a further 6% in reserve: a result of SDC not acting on the findings of the initial consultations?</w:t>
            </w:r>
          </w:p>
          <w:p w:rsidR="00A9192C" w:rsidRPr="00106DA8" w:rsidRDefault="00A9192C" w:rsidP="007914E5">
            <w:pPr>
              <w:jc w:val="both"/>
              <w:rPr>
                <w:sz w:val="12"/>
                <w:szCs w:val="12"/>
              </w:rPr>
            </w:pPr>
          </w:p>
          <w:p w:rsidR="00A9192C" w:rsidRPr="000804B3" w:rsidRDefault="00A9192C" w:rsidP="007914E5">
            <w:pPr>
              <w:jc w:val="both"/>
              <w:rPr>
                <w:sz w:val="20"/>
                <w:szCs w:val="20"/>
              </w:rPr>
            </w:pPr>
            <w:r>
              <w:rPr>
                <w:sz w:val="20"/>
                <w:szCs w:val="20"/>
              </w:rPr>
              <w:t>With specific reference to GLH, GPC has long argued that LH will not be integrated with the new housing (expansion of an existing settlement)</w:t>
            </w:r>
            <w:r w:rsidR="00106DA8">
              <w:rPr>
                <w:sz w:val="20"/>
                <w:szCs w:val="20"/>
              </w:rPr>
              <w:t xml:space="preserve"> as result of the ‘unfortunate layout’ of LH as identified in the SPD and a busy road cutting it in half.</w:t>
            </w:r>
          </w:p>
        </w:tc>
      </w:tr>
      <w:tr w:rsidR="000804B3" w:rsidTr="000804B3">
        <w:tc>
          <w:tcPr>
            <w:tcW w:w="1242" w:type="dxa"/>
          </w:tcPr>
          <w:p w:rsidR="000804B3" w:rsidRPr="000804B3" w:rsidRDefault="00106DA8">
            <w:pPr>
              <w:rPr>
                <w:sz w:val="20"/>
                <w:szCs w:val="20"/>
              </w:rPr>
            </w:pPr>
            <w:r>
              <w:rPr>
                <w:sz w:val="20"/>
                <w:szCs w:val="20"/>
              </w:rPr>
              <w:t>MM02</w:t>
            </w:r>
          </w:p>
        </w:tc>
        <w:tc>
          <w:tcPr>
            <w:tcW w:w="1134" w:type="dxa"/>
          </w:tcPr>
          <w:p w:rsidR="000804B3" w:rsidRPr="000804B3" w:rsidRDefault="00106DA8">
            <w:pPr>
              <w:rPr>
                <w:sz w:val="20"/>
                <w:szCs w:val="20"/>
              </w:rPr>
            </w:pPr>
            <w:r>
              <w:rPr>
                <w:sz w:val="20"/>
                <w:szCs w:val="20"/>
              </w:rPr>
              <w:t>CS1.3</w:t>
            </w:r>
          </w:p>
        </w:tc>
        <w:tc>
          <w:tcPr>
            <w:tcW w:w="6866" w:type="dxa"/>
          </w:tcPr>
          <w:p w:rsidR="000804B3" w:rsidRPr="000804B3" w:rsidRDefault="00106DA8" w:rsidP="007914E5">
            <w:pPr>
              <w:jc w:val="both"/>
              <w:rPr>
                <w:sz w:val="20"/>
                <w:szCs w:val="20"/>
              </w:rPr>
            </w:pPr>
            <w:r>
              <w:rPr>
                <w:sz w:val="20"/>
                <w:szCs w:val="20"/>
              </w:rPr>
              <w:t>The delays caused by poor procedure at the start are going to haunt SDC: GLH is nothing more than an overspill housing estate from other metropolitan areas.</w:t>
            </w:r>
            <w:r w:rsidR="00D526BA">
              <w:rPr>
                <w:sz w:val="20"/>
                <w:szCs w:val="20"/>
              </w:rPr>
              <w:t xml:space="preserve"> GPC points out and would argue that i</w:t>
            </w:r>
            <w:r w:rsidR="00D526BA" w:rsidRPr="00D526BA">
              <w:rPr>
                <w:sz w:val="20"/>
                <w:szCs w:val="20"/>
              </w:rPr>
              <w:t xml:space="preserve">t has taken over 30 years for </w:t>
            </w:r>
            <w:proofErr w:type="spellStart"/>
            <w:r w:rsidR="00D526BA" w:rsidRPr="00D526BA">
              <w:rPr>
                <w:sz w:val="20"/>
                <w:szCs w:val="20"/>
              </w:rPr>
              <w:t>Lighthorne</w:t>
            </w:r>
            <w:proofErr w:type="spellEnd"/>
            <w:r w:rsidR="00D526BA" w:rsidRPr="00D526BA">
              <w:rPr>
                <w:sz w:val="20"/>
                <w:szCs w:val="20"/>
              </w:rPr>
              <w:t xml:space="preserve"> Heath to develop into</w:t>
            </w:r>
            <w:r w:rsidR="00D526BA">
              <w:rPr>
                <w:sz w:val="20"/>
                <w:szCs w:val="20"/>
              </w:rPr>
              <w:t xml:space="preserve"> a functioning community because</w:t>
            </w:r>
            <w:r w:rsidR="00D526BA" w:rsidRPr="00D526BA">
              <w:rPr>
                <w:sz w:val="20"/>
                <w:szCs w:val="20"/>
              </w:rPr>
              <w:t xml:space="preserve"> a lamentable lack of infrastructure provision. Without a large infrastructure input into GLH this proposal threatens to repeat the process with the resultant social challenges.</w:t>
            </w:r>
          </w:p>
        </w:tc>
      </w:tr>
      <w:tr w:rsidR="000804B3" w:rsidTr="000804B3">
        <w:tc>
          <w:tcPr>
            <w:tcW w:w="1242" w:type="dxa"/>
          </w:tcPr>
          <w:p w:rsidR="000804B3" w:rsidRPr="000804B3" w:rsidRDefault="00106DA8">
            <w:pPr>
              <w:rPr>
                <w:sz w:val="20"/>
                <w:szCs w:val="20"/>
              </w:rPr>
            </w:pPr>
            <w:r>
              <w:rPr>
                <w:sz w:val="20"/>
                <w:szCs w:val="20"/>
              </w:rPr>
              <w:t>MM03</w:t>
            </w:r>
          </w:p>
        </w:tc>
        <w:tc>
          <w:tcPr>
            <w:tcW w:w="1134" w:type="dxa"/>
          </w:tcPr>
          <w:p w:rsidR="000804B3" w:rsidRPr="000804B3" w:rsidRDefault="00106DA8">
            <w:pPr>
              <w:rPr>
                <w:sz w:val="20"/>
                <w:szCs w:val="20"/>
              </w:rPr>
            </w:pPr>
            <w:r>
              <w:rPr>
                <w:sz w:val="20"/>
                <w:szCs w:val="20"/>
              </w:rPr>
              <w:t>Vision</w:t>
            </w:r>
          </w:p>
        </w:tc>
        <w:tc>
          <w:tcPr>
            <w:tcW w:w="6866" w:type="dxa"/>
          </w:tcPr>
          <w:p w:rsidR="000804B3" w:rsidRDefault="00106DA8" w:rsidP="007914E5">
            <w:pPr>
              <w:jc w:val="both"/>
              <w:rPr>
                <w:sz w:val="20"/>
                <w:szCs w:val="20"/>
              </w:rPr>
            </w:pPr>
            <w:r>
              <w:rPr>
                <w:sz w:val="20"/>
                <w:szCs w:val="20"/>
              </w:rPr>
              <w:t>‘Settlements and landscape’ maintained and enhanced is very questionable when the number of houses is to be so significantly expanded – and might be even more (MM35).</w:t>
            </w:r>
          </w:p>
          <w:p w:rsidR="00106DA8" w:rsidRPr="00106DA8" w:rsidRDefault="00106DA8" w:rsidP="007914E5">
            <w:pPr>
              <w:jc w:val="both"/>
              <w:rPr>
                <w:sz w:val="12"/>
                <w:szCs w:val="12"/>
              </w:rPr>
            </w:pPr>
          </w:p>
          <w:p w:rsidR="00106DA8" w:rsidRDefault="00106DA8" w:rsidP="007914E5">
            <w:pPr>
              <w:jc w:val="both"/>
              <w:rPr>
                <w:sz w:val="20"/>
                <w:szCs w:val="20"/>
              </w:rPr>
            </w:pPr>
            <w:r>
              <w:rPr>
                <w:sz w:val="20"/>
                <w:szCs w:val="20"/>
              </w:rPr>
              <w:t>An acknowledgement of the development of brownfield sites as it should have been at the beginning.</w:t>
            </w:r>
          </w:p>
          <w:p w:rsidR="00106DA8" w:rsidRPr="00106DA8" w:rsidRDefault="00106DA8" w:rsidP="007914E5">
            <w:pPr>
              <w:jc w:val="both"/>
              <w:rPr>
                <w:sz w:val="12"/>
                <w:szCs w:val="12"/>
              </w:rPr>
            </w:pPr>
          </w:p>
          <w:p w:rsidR="00106DA8" w:rsidRDefault="00106DA8" w:rsidP="007914E5">
            <w:pPr>
              <w:jc w:val="both"/>
              <w:rPr>
                <w:sz w:val="20"/>
                <w:szCs w:val="20"/>
              </w:rPr>
            </w:pPr>
            <w:r>
              <w:rPr>
                <w:sz w:val="20"/>
                <w:szCs w:val="20"/>
              </w:rPr>
              <w:t>An inclusion of ‘safe’: will need adequate facilities (for all sectors of society and for both day and evening/night time) to ensure that anti-social behaviour does not threaten the wellbeing and safety of residents and existing communities.</w:t>
            </w:r>
          </w:p>
          <w:p w:rsidR="00106DA8" w:rsidRPr="00106DA8" w:rsidRDefault="00106DA8" w:rsidP="007914E5">
            <w:pPr>
              <w:jc w:val="both"/>
              <w:rPr>
                <w:sz w:val="12"/>
                <w:szCs w:val="12"/>
              </w:rPr>
            </w:pPr>
          </w:p>
          <w:p w:rsidR="00106DA8" w:rsidRDefault="00106DA8" w:rsidP="007914E5">
            <w:pPr>
              <w:jc w:val="both"/>
              <w:rPr>
                <w:sz w:val="20"/>
                <w:szCs w:val="20"/>
              </w:rPr>
            </w:pPr>
            <w:r>
              <w:rPr>
                <w:sz w:val="20"/>
                <w:szCs w:val="20"/>
              </w:rPr>
              <w:t xml:space="preserve">Being ‘safe’ must also take into account air quality and sound pollution from </w:t>
            </w:r>
            <w:r>
              <w:rPr>
                <w:sz w:val="20"/>
                <w:szCs w:val="20"/>
              </w:rPr>
              <w:lastRenderedPageBreak/>
              <w:t>being sandwiched between busy roads and should not rely on prevailing winds.</w:t>
            </w:r>
          </w:p>
          <w:p w:rsidR="00106DA8" w:rsidRPr="00106DA8" w:rsidRDefault="00106DA8" w:rsidP="007914E5">
            <w:pPr>
              <w:jc w:val="both"/>
              <w:rPr>
                <w:sz w:val="12"/>
                <w:szCs w:val="12"/>
              </w:rPr>
            </w:pPr>
          </w:p>
          <w:p w:rsidR="00106DA8" w:rsidRDefault="00106DA8" w:rsidP="007914E5">
            <w:pPr>
              <w:jc w:val="both"/>
              <w:rPr>
                <w:sz w:val="20"/>
                <w:szCs w:val="20"/>
              </w:rPr>
            </w:pPr>
            <w:r>
              <w:rPr>
                <w:sz w:val="20"/>
                <w:szCs w:val="20"/>
              </w:rPr>
              <w:t>A new link road for LM (as in earlier proposals) suggests a rehash of old plans and highlights the lack of ambition for what is being proposed for GLH.</w:t>
            </w:r>
          </w:p>
          <w:p w:rsidR="00067739" w:rsidRPr="000804B3" w:rsidRDefault="00067739" w:rsidP="007914E5">
            <w:pPr>
              <w:jc w:val="both"/>
              <w:rPr>
                <w:sz w:val="20"/>
                <w:szCs w:val="20"/>
              </w:rPr>
            </w:pPr>
            <w:r>
              <w:rPr>
                <w:sz w:val="20"/>
                <w:szCs w:val="20"/>
              </w:rPr>
              <w:t>With specific reference to Southam: GPC has long argued that with the expansion of the town and service villages (and this is now far more ambitious than it originally was) that secondary school provision in the wider district needs to be reorganised in terms of catchments and provision. A secondary school as part of the GLH proposal would both help meet infrastructure needs of this project and give rise to an opportunity to reorganise provision. The responses given to date have failed to grasp this as an ambitious opportunity and concentrated on all the complications. An opportunity to find support for GLH is lost and not recognised in these modifications.</w:t>
            </w:r>
          </w:p>
        </w:tc>
      </w:tr>
      <w:tr w:rsidR="000804B3" w:rsidTr="000804B3">
        <w:tc>
          <w:tcPr>
            <w:tcW w:w="1242" w:type="dxa"/>
          </w:tcPr>
          <w:p w:rsidR="000804B3" w:rsidRPr="000804B3" w:rsidRDefault="002C3291">
            <w:pPr>
              <w:rPr>
                <w:sz w:val="20"/>
                <w:szCs w:val="20"/>
              </w:rPr>
            </w:pPr>
            <w:r>
              <w:rPr>
                <w:sz w:val="20"/>
                <w:szCs w:val="20"/>
              </w:rPr>
              <w:lastRenderedPageBreak/>
              <w:t>MM04</w:t>
            </w:r>
          </w:p>
        </w:tc>
        <w:tc>
          <w:tcPr>
            <w:tcW w:w="1134" w:type="dxa"/>
          </w:tcPr>
          <w:p w:rsidR="000804B3" w:rsidRPr="000804B3" w:rsidRDefault="002C3291">
            <w:pPr>
              <w:rPr>
                <w:sz w:val="20"/>
                <w:szCs w:val="20"/>
              </w:rPr>
            </w:pPr>
            <w:r>
              <w:rPr>
                <w:sz w:val="20"/>
                <w:szCs w:val="20"/>
              </w:rPr>
              <w:t>Key Diagram</w:t>
            </w:r>
          </w:p>
        </w:tc>
        <w:tc>
          <w:tcPr>
            <w:tcW w:w="6866" w:type="dxa"/>
          </w:tcPr>
          <w:p w:rsidR="000804B3" w:rsidRPr="000804B3" w:rsidRDefault="002C3291">
            <w:pPr>
              <w:rPr>
                <w:sz w:val="20"/>
                <w:szCs w:val="20"/>
              </w:rPr>
            </w:pPr>
            <w:proofErr w:type="spellStart"/>
            <w:r>
              <w:rPr>
                <w:sz w:val="20"/>
                <w:szCs w:val="20"/>
              </w:rPr>
              <w:t>Halford</w:t>
            </w:r>
            <w:proofErr w:type="spellEnd"/>
            <w:r>
              <w:rPr>
                <w:sz w:val="20"/>
                <w:szCs w:val="20"/>
              </w:rPr>
              <w:t xml:space="preserve"> a service village?</w:t>
            </w:r>
          </w:p>
        </w:tc>
      </w:tr>
      <w:tr w:rsidR="000804B3" w:rsidTr="000804B3">
        <w:tc>
          <w:tcPr>
            <w:tcW w:w="1242" w:type="dxa"/>
          </w:tcPr>
          <w:p w:rsidR="000804B3" w:rsidRPr="000804B3" w:rsidRDefault="002C3291">
            <w:pPr>
              <w:rPr>
                <w:sz w:val="20"/>
                <w:szCs w:val="20"/>
              </w:rPr>
            </w:pPr>
            <w:r>
              <w:rPr>
                <w:sz w:val="20"/>
                <w:szCs w:val="20"/>
              </w:rPr>
              <w:t>MM05</w:t>
            </w:r>
          </w:p>
        </w:tc>
        <w:tc>
          <w:tcPr>
            <w:tcW w:w="1134" w:type="dxa"/>
          </w:tcPr>
          <w:p w:rsidR="000804B3" w:rsidRPr="000804B3" w:rsidRDefault="002C3291">
            <w:pPr>
              <w:rPr>
                <w:sz w:val="20"/>
                <w:szCs w:val="20"/>
              </w:rPr>
            </w:pPr>
            <w:r>
              <w:rPr>
                <w:sz w:val="20"/>
                <w:szCs w:val="20"/>
              </w:rPr>
              <w:t>Strategic Objectives</w:t>
            </w:r>
          </w:p>
        </w:tc>
        <w:tc>
          <w:tcPr>
            <w:tcW w:w="6866" w:type="dxa"/>
          </w:tcPr>
          <w:p w:rsidR="000804B3" w:rsidRDefault="00B4043D" w:rsidP="007914E5">
            <w:pPr>
              <w:jc w:val="both"/>
              <w:rPr>
                <w:sz w:val="20"/>
                <w:szCs w:val="20"/>
              </w:rPr>
            </w:pPr>
            <w:r>
              <w:rPr>
                <w:sz w:val="20"/>
                <w:szCs w:val="20"/>
              </w:rPr>
              <w:t>Helpful – clearer with regard to flooding. However, please note that GPC is currently working to ensure that flooding from runoff is not made worse by developments and the new road.  Full assessments in accordance with the wastewater directive need to be a condition of any development. Recent developments including those in Bishops Itchington show that this is not happening adequately.</w:t>
            </w:r>
          </w:p>
          <w:p w:rsidR="00B4043D" w:rsidRPr="00E17B35" w:rsidRDefault="00B4043D" w:rsidP="007914E5">
            <w:pPr>
              <w:jc w:val="both"/>
              <w:rPr>
                <w:sz w:val="16"/>
                <w:szCs w:val="16"/>
              </w:rPr>
            </w:pPr>
          </w:p>
          <w:p w:rsidR="00B4043D" w:rsidRPr="000804B3" w:rsidRDefault="007914E5" w:rsidP="007914E5">
            <w:pPr>
              <w:jc w:val="both"/>
              <w:rPr>
                <w:sz w:val="20"/>
                <w:szCs w:val="20"/>
              </w:rPr>
            </w:pPr>
            <w:r>
              <w:rPr>
                <w:sz w:val="20"/>
                <w:szCs w:val="20"/>
              </w:rPr>
              <w:t>I</w:t>
            </w:r>
            <w:r w:rsidR="00B4043D">
              <w:rPr>
                <w:sz w:val="20"/>
                <w:szCs w:val="20"/>
              </w:rPr>
              <w:t>t is noted that there is a considerable increase in the number of proposed Gypsy/Traveller pitches. How does this affect previous planning objectives that were consulted on in the last year?</w:t>
            </w:r>
          </w:p>
        </w:tc>
      </w:tr>
      <w:tr w:rsidR="000804B3" w:rsidTr="000804B3">
        <w:tc>
          <w:tcPr>
            <w:tcW w:w="1242" w:type="dxa"/>
          </w:tcPr>
          <w:p w:rsidR="000804B3" w:rsidRPr="000804B3" w:rsidRDefault="00B4043D">
            <w:pPr>
              <w:rPr>
                <w:sz w:val="20"/>
                <w:szCs w:val="20"/>
              </w:rPr>
            </w:pPr>
            <w:r>
              <w:rPr>
                <w:sz w:val="20"/>
                <w:szCs w:val="20"/>
              </w:rPr>
              <w:t>MM07</w:t>
            </w:r>
          </w:p>
        </w:tc>
        <w:tc>
          <w:tcPr>
            <w:tcW w:w="1134" w:type="dxa"/>
          </w:tcPr>
          <w:p w:rsidR="000804B3" w:rsidRPr="000804B3" w:rsidRDefault="00B4043D">
            <w:pPr>
              <w:rPr>
                <w:sz w:val="20"/>
                <w:szCs w:val="20"/>
              </w:rPr>
            </w:pPr>
            <w:r>
              <w:rPr>
                <w:sz w:val="20"/>
                <w:szCs w:val="20"/>
              </w:rPr>
              <w:t>CS.1 Explanation.</w:t>
            </w:r>
          </w:p>
        </w:tc>
        <w:tc>
          <w:tcPr>
            <w:tcW w:w="6866" w:type="dxa"/>
          </w:tcPr>
          <w:p w:rsidR="000804B3" w:rsidRPr="000804B3" w:rsidRDefault="00B4043D">
            <w:pPr>
              <w:rPr>
                <w:sz w:val="20"/>
                <w:szCs w:val="20"/>
              </w:rPr>
            </w:pPr>
            <w:r>
              <w:rPr>
                <w:sz w:val="20"/>
                <w:szCs w:val="20"/>
              </w:rPr>
              <w:t>GPC largely supports the reuse of land.</w:t>
            </w:r>
          </w:p>
        </w:tc>
      </w:tr>
      <w:tr w:rsidR="000804B3" w:rsidTr="000804B3">
        <w:tc>
          <w:tcPr>
            <w:tcW w:w="1242" w:type="dxa"/>
          </w:tcPr>
          <w:p w:rsidR="000804B3" w:rsidRPr="000804B3" w:rsidRDefault="00B4043D">
            <w:pPr>
              <w:rPr>
                <w:sz w:val="20"/>
                <w:szCs w:val="20"/>
              </w:rPr>
            </w:pPr>
            <w:r>
              <w:rPr>
                <w:sz w:val="20"/>
                <w:szCs w:val="20"/>
              </w:rPr>
              <w:t>MM08</w:t>
            </w:r>
          </w:p>
        </w:tc>
        <w:tc>
          <w:tcPr>
            <w:tcW w:w="1134" w:type="dxa"/>
          </w:tcPr>
          <w:p w:rsidR="000804B3" w:rsidRPr="000804B3" w:rsidRDefault="00B4043D">
            <w:pPr>
              <w:rPr>
                <w:sz w:val="20"/>
                <w:szCs w:val="20"/>
              </w:rPr>
            </w:pPr>
            <w:r>
              <w:rPr>
                <w:sz w:val="20"/>
                <w:szCs w:val="20"/>
              </w:rPr>
              <w:t>CS2</w:t>
            </w:r>
          </w:p>
        </w:tc>
        <w:tc>
          <w:tcPr>
            <w:tcW w:w="6866" w:type="dxa"/>
          </w:tcPr>
          <w:p w:rsidR="000804B3" w:rsidRPr="000804B3" w:rsidRDefault="00B4043D">
            <w:pPr>
              <w:rPr>
                <w:sz w:val="20"/>
                <w:szCs w:val="20"/>
              </w:rPr>
            </w:pPr>
            <w:r>
              <w:rPr>
                <w:sz w:val="20"/>
                <w:szCs w:val="20"/>
              </w:rPr>
              <w:t>Generally supportive.</w:t>
            </w:r>
          </w:p>
        </w:tc>
      </w:tr>
      <w:tr w:rsidR="00A248CD" w:rsidTr="000804B3">
        <w:tc>
          <w:tcPr>
            <w:tcW w:w="1242" w:type="dxa"/>
          </w:tcPr>
          <w:p w:rsidR="00A248CD" w:rsidRDefault="00A248CD">
            <w:pPr>
              <w:rPr>
                <w:sz w:val="20"/>
                <w:szCs w:val="20"/>
              </w:rPr>
            </w:pPr>
            <w:r>
              <w:rPr>
                <w:sz w:val="20"/>
                <w:szCs w:val="20"/>
              </w:rPr>
              <w:t>MM10</w:t>
            </w:r>
          </w:p>
        </w:tc>
        <w:tc>
          <w:tcPr>
            <w:tcW w:w="1134" w:type="dxa"/>
          </w:tcPr>
          <w:p w:rsidR="00A248CD" w:rsidRDefault="00A248CD">
            <w:pPr>
              <w:rPr>
                <w:sz w:val="20"/>
                <w:szCs w:val="20"/>
              </w:rPr>
            </w:pPr>
            <w:r>
              <w:rPr>
                <w:sz w:val="20"/>
                <w:szCs w:val="20"/>
              </w:rPr>
              <w:t>CS3</w:t>
            </w:r>
          </w:p>
        </w:tc>
        <w:tc>
          <w:tcPr>
            <w:tcW w:w="6866" w:type="dxa"/>
          </w:tcPr>
          <w:p w:rsidR="00A248CD" w:rsidRDefault="00765201" w:rsidP="00D0419D">
            <w:pPr>
              <w:jc w:val="both"/>
              <w:rPr>
                <w:sz w:val="20"/>
                <w:szCs w:val="20"/>
              </w:rPr>
            </w:pPr>
            <w:r>
              <w:rPr>
                <w:sz w:val="20"/>
                <w:szCs w:val="20"/>
              </w:rPr>
              <w:t>District heating: sounds interesting – and the concept is one that is generally supported. GPC notes that this has not been apparent in proposals to date.</w:t>
            </w:r>
          </w:p>
        </w:tc>
      </w:tr>
      <w:tr w:rsidR="00A248CD" w:rsidTr="000804B3">
        <w:tc>
          <w:tcPr>
            <w:tcW w:w="1242" w:type="dxa"/>
          </w:tcPr>
          <w:p w:rsidR="00A248CD" w:rsidRDefault="00A248CD">
            <w:pPr>
              <w:rPr>
                <w:sz w:val="20"/>
                <w:szCs w:val="20"/>
              </w:rPr>
            </w:pPr>
            <w:r>
              <w:rPr>
                <w:sz w:val="20"/>
                <w:szCs w:val="20"/>
              </w:rPr>
              <w:t>MM12</w:t>
            </w:r>
          </w:p>
        </w:tc>
        <w:tc>
          <w:tcPr>
            <w:tcW w:w="1134" w:type="dxa"/>
          </w:tcPr>
          <w:p w:rsidR="00A248CD" w:rsidRDefault="00A248CD">
            <w:pPr>
              <w:rPr>
                <w:sz w:val="20"/>
                <w:szCs w:val="20"/>
              </w:rPr>
            </w:pPr>
            <w:r>
              <w:rPr>
                <w:sz w:val="20"/>
                <w:szCs w:val="20"/>
              </w:rPr>
              <w:t>CS4</w:t>
            </w:r>
          </w:p>
        </w:tc>
        <w:tc>
          <w:tcPr>
            <w:tcW w:w="6866" w:type="dxa"/>
          </w:tcPr>
          <w:p w:rsidR="00A248CD" w:rsidRDefault="00765201" w:rsidP="00D0419D">
            <w:pPr>
              <w:jc w:val="both"/>
              <w:rPr>
                <w:sz w:val="20"/>
                <w:szCs w:val="20"/>
              </w:rPr>
            </w:pPr>
            <w:r>
              <w:rPr>
                <w:sz w:val="20"/>
                <w:szCs w:val="20"/>
              </w:rPr>
              <w:t xml:space="preserve">Generally GPC is supportive but schemes need real scale and assessment for 100+ year events. Recent developments including the attenuation ponds for the new duelled road link and the development in Bishops Itchington seemed to be overwhelmed by an overnight rain event in March’16! </w:t>
            </w:r>
          </w:p>
        </w:tc>
      </w:tr>
      <w:tr w:rsidR="00A248CD" w:rsidTr="000804B3">
        <w:tc>
          <w:tcPr>
            <w:tcW w:w="1242" w:type="dxa"/>
          </w:tcPr>
          <w:p w:rsidR="00A248CD" w:rsidRDefault="00A248CD">
            <w:pPr>
              <w:rPr>
                <w:sz w:val="20"/>
                <w:szCs w:val="20"/>
              </w:rPr>
            </w:pPr>
            <w:r>
              <w:rPr>
                <w:sz w:val="20"/>
                <w:szCs w:val="20"/>
              </w:rPr>
              <w:t>MM13</w:t>
            </w:r>
          </w:p>
        </w:tc>
        <w:tc>
          <w:tcPr>
            <w:tcW w:w="1134" w:type="dxa"/>
          </w:tcPr>
          <w:p w:rsidR="00A248CD" w:rsidRDefault="00A248CD">
            <w:pPr>
              <w:rPr>
                <w:sz w:val="20"/>
                <w:szCs w:val="20"/>
              </w:rPr>
            </w:pPr>
            <w:r>
              <w:rPr>
                <w:sz w:val="20"/>
                <w:szCs w:val="20"/>
              </w:rPr>
              <w:t>CS4 Explanation.</w:t>
            </w:r>
          </w:p>
        </w:tc>
        <w:tc>
          <w:tcPr>
            <w:tcW w:w="6866" w:type="dxa"/>
          </w:tcPr>
          <w:p w:rsidR="00A248CD" w:rsidRDefault="00765201" w:rsidP="00D0419D">
            <w:pPr>
              <w:jc w:val="both"/>
              <w:rPr>
                <w:sz w:val="20"/>
                <w:szCs w:val="20"/>
              </w:rPr>
            </w:pPr>
            <w:r>
              <w:rPr>
                <w:sz w:val="20"/>
                <w:szCs w:val="20"/>
              </w:rPr>
              <w:t>‘</w:t>
            </w:r>
            <w:proofErr w:type="gramStart"/>
            <w:r>
              <w:rPr>
                <w:sz w:val="20"/>
                <w:szCs w:val="20"/>
              </w:rPr>
              <w:t>reliant</w:t>
            </w:r>
            <w:proofErr w:type="gramEnd"/>
            <w:r>
              <w:rPr>
                <w:sz w:val="20"/>
                <w:szCs w:val="20"/>
              </w:rPr>
              <w:t xml:space="preserve"> on more efficient use of existing … and references to demand reduction’ – Oh dear – such promises translate into pipe dreams!</w:t>
            </w:r>
          </w:p>
        </w:tc>
      </w:tr>
      <w:tr w:rsidR="00A248CD" w:rsidTr="000804B3">
        <w:tc>
          <w:tcPr>
            <w:tcW w:w="1242" w:type="dxa"/>
          </w:tcPr>
          <w:p w:rsidR="00A248CD" w:rsidRDefault="00A248CD">
            <w:pPr>
              <w:rPr>
                <w:sz w:val="20"/>
                <w:szCs w:val="20"/>
              </w:rPr>
            </w:pPr>
            <w:r>
              <w:rPr>
                <w:sz w:val="20"/>
                <w:szCs w:val="20"/>
              </w:rPr>
              <w:t>MM14</w:t>
            </w:r>
          </w:p>
        </w:tc>
        <w:tc>
          <w:tcPr>
            <w:tcW w:w="1134" w:type="dxa"/>
          </w:tcPr>
          <w:p w:rsidR="00A248CD" w:rsidRDefault="00A248CD">
            <w:pPr>
              <w:rPr>
                <w:sz w:val="20"/>
                <w:szCs w:val="20"/>
              </w:rPr>
            </w:pPr>
            <w:r>
              <w:rPr>
                <w:sz w:val="20"/>
                <w:szCs w:val="20"/>
              </w:rPr>
              <w:t>CS4 DMCs</w:t>
            </w:r>
          </w:p>
        </w:tc>
        <w:tc>
          <w:tcPr>
            <w:tcW w:w="6866" w:type="dxa"/>
          </w:tcPr>
          <w:p w:rsidR="00A248CD" w:rsidRDefault="00765201" w:rsidP="00D0419D">
            <w:pPr>
              <w:jc w:val="both"/>
              <w:rPr>
                <w:sz w:val="20"/>
                <w:szCs w:val="20"/>
              </w:rPr>
            </w:pPr>
            <w:r>
              <w:rPr>
                <w:sz w:val="20"/>
                <w:szCs w:val="20"/>
              </w:rPr>
              <w:t>Support tighter use of language.</w:t>
            </w:r>
          </w:p>
          <w:p w:rsidR="00765201" w:rsidRDefault="00765201" w:rsidP="00D0419D">
            <w:pPr>
              <w:jc w:val="both"/>
              <w:rPr>
                <w:sz w:val="20"/>
                <w:szCs w:val="20"/>
              </w:rPr>
            </w:pPr>
            <w:r>
              <w:rPr>
                <w:sz w:val="20"/>
                <w:szCs w:val="20"/>
              </w:rPr>
              <w:t>B1 – GPC argues that ‘may require full landscape and visual impact assessment’ should be</w:t>
            </w:r>
            <w:r w:rsidR="008633F3">
              <w:rPr>
                <w:sz w:val="20"/>
                <w:szCs w:val="20"/>
              </w:rPr>
              <w:t>:</w:t>
            </w:r>
            <w:r>
              <w:rPr>
                <w:sz w:val="20"/>
                <w:szCs w:val="20"/>
              </w:rPr>
              <w:t xml:space="preserve"> </w:t>
            </w:r>
            <w:r w:rsidR="008633F3">
              <w:rPr>
                <w:sz w:val="20"/>
                <w:szCs w:val="20"/>
              </w:rPr>
              <w:t>‘</w:t>
            </w:r>
            <w:r>
              <w:rPr>
                <w:sz w:val="20"/>
                <w:szCs w:val="20"/>
              </w:rPr>
              <w:t xml:space="preserve">will require… </w:t>
            </w:r>
            <w:r w:rsidR="008633F3">
              <w:rPr>
                <w:sz w:val="20"/>
                <w:szCs w:val="20"/>
              </w:rPr>
              <w:t>‘</w:t>
            </w:r>
          </w:p>
          <w:p w:rsidR="008633F3" w:rsidRDefault="008633F3" w:rsidP="00D0419D">
            <w:pPr>
              <w:jc w:val="both"/>
              <w:rPr>
                <w:sz w:val="20"/>
                <w:szCs w:val="20"/>
              </w:rPr>
            </w:pPr>
            <w:r>
              <w:rPr>
                <w:sz w:val="20"/>
                <w:szCs w:val="20"/>
              </w:rPr>
              <w:t>C1 – ‘No loss or damage to woodland’ GPC supports this statement but hasn’t seen this adequately recognised in the SPD for GLH and most certainly in the outline planning applications – footpaths seem to have again appeared throughout Gaydon Coppice in the latest reincarnation. At the very least, such ancient woodlands – including Chesterton – need more protection.</w:t>
            </w:r>
          </w:p>
          <w:p w:rsidR="008633F3" w:rsidRDefault="008633F3" w:rsidP="00D0419D">
            <w:pPr>
              <w:jc w:val="both"/>
              <w:rPr>
                <w:sz w:val="20"/>
                <w:szCs w:val="20"/>
              </w:rPr>
            </w:pPr>
            <w:r>
              <w:rPr>
                <w:sz w:val="20"/>
                <w:szCs w:val="20"/>
              </w:rPr>
              <w:t>C2 – The SPD was very quick to class hedgerows as scrub to be removed – fine words don’t seem to translate.</w:t>
            </w:r>
          </w:p>
          <w:p w:rsidR="008633F3" w:rsidRDefault="008633F3" w:rsidP="00D0419D">
            <w:pPr>
              <w:jc w:val="both"/>
              <w:rPr>
                <w:sz w:val="20"/>
                <w:szCs w:val="20"/>
              </w:rPr>
            </w:pPr>
            <w:r>
              <w:rPr>
                <w:sz w:val="20"/>
                <w:szCs w:val="20"/>
              </w:rPr>
              <w:t>C4 – such measures if enforced would go some way to protect but have again not been evident in any plans or documents to date if located inconveniently.</w:t>
            </w:r>
          </w:p>
        </w:tc>
      </w:tr>
      <w:tr w:rsidR="00A248CD" w:rsidTr="000804B3">
        <w:tc>
          <w:tcPr>
            <w:tcW w:w="1242" w:type="dxa"/>
          </w:tcPr>
          <w:p w:rsidR="00A248CD" w:rsidRDefault="008633F3">
            <w:pPr>
              <w:rPr>
                <w:sz w:val="20"/>
                <w:szCs w:val="20"/>
              </w:rPr>
            </w:pPr>
            <w:r>
              <w:rPr>
                <w:sz w:val="20"/>
                <w:szCs w:val="20"/>
              </w:rPr>
              <w:t>MM16</w:t>
            </w:r>
          </w:p>
        </w:tc>
        <w:tc>
          <w:tcPr>
            <w:tcW w:w="1134" w:type="dxa"/>
          </w:tcPr>
          <w:p w:rsidR="00A248CD" w:rsidRDefault="008633F3">
            <w:pPr>
              <w:rPr>
                <w:sz w:val="20"/>
                <w:szCs w:val="20"/>
              </w:rPr>
            </w:pPr>
            <w:r>
              <w:rPr>
                <w:sz w:val="20"/>
                <w:szCs w:val="20"/>
              </w:rPr>
              <w:t>CS5 DMCs</w:t>
            </w:r>
          </w:p>
        </w:tc>
        <w:tc>
          <w:tcPr>
            <w:tcW w:w="6866" w:type="dxa"/>
          </w:tcPr>
          <w:p w:rsidR="00A248CD" w:rsidRDefault="008633F3" w:rsidP="002D225C">
            <w:pPr>
              <w:jc w:val="both"/>
              <w:rPr>
                <w:sz w:val="20"/>
                <w:szCs w:val="20"/>
              </w:rPr>
            </w:pPr>
            <w:r>
              <w:rPr>
                <w:sz w:val="20"/>
                <w:szCs w:val="20"/>
              </w:rPr>
              <w:t>The acknowledgement of cumulative impact</w:t>
            </w:r>
            <w:r w:rsidR="00CD48CE">
              <w:rPr>
                <w:sz w:val="20"/>
                <w:szCs w:val="20"/>
              </w:rPr>
              <w:t xml:space="preserve"> is supported</w:t>
            </w:r>
            <w:r>
              <w:rPr>
                <w:sz w:val="20"/>
                <w:szCs w:val="20"/>
              </w:rPr>
              <w:t xml:space="preserve"> but </w:t>
            </w:r>
            <w:r w:rsidR="00CD48CE">
              <w:rPr>
                <w:sz w:val="20"/>
                <w:szCs w:val="20"/>
              </w:rPr>
              <w:t>not been evident with regard to traffic.</w:t>
            </w:r>
          </w:p>
          <w:p w:rsidR="00CD48CE" w:rsidRPr="00E17B35" w:rsidRDefault="00CD48CE" w:rsidP="002D225C">
            <w:pPr>
              <w:jc w:val="both"/>
              <w:rPr>
                <w:sz w:val="12"/>
                <w:szCs w:val="12"/>
              </w:rPr>
            </w:pPr>
          </w:p>
          <w:p w:rsidR="00CD48CE" w:rsidRDefault="00CD48CE" w:rsidP="002D225C">
            <w:pPr>
              <w:jc w:val="both"/>
              <w:rPr>
                <w:sz w:val="20"/>
                <w:szCs w:val="20"/>
              </w:rPr>
            </w:pPr>
            <w:r>
              <w:rPr>
                <w:sz w:val="20"/>
                <w:szCs w:val="20"/>
              </w:rPr>
              <w:t>GPC supports the ideas of buffers.</w:t>
            </w:r>
          </w:p>
        </w:tc>
      </w:tr>
      <w:tr w:rsidR="008633F3" w:rsidTr="000804B3">
        <w:tc>
          <w:tcPr>
            <w:tcW w:w="1242" w:type="dxa"/>
          </w:tcPr>
          <w:p w:rsidR="008633F3" w:rsidRDefault="00CD48CE">
            <w:pPr>
              <w:rPr>
                <w:sz w:val="20"/>
                <w:szCs w:val="20"/>
              </w:rPr>
            </w:pPr>
            <w:r>
              <w:rPr>
                <w:sz w:val="20"/>
                <w:szCs w:val="20"/>
              </w:rPr>
              <w:t>MM17</w:t>
            </w:r>
          </w:p>
        </w:tc>
        <w:tc>
          <w:tcPr>
            <w:tcW w:w="1134" w:type="dxa"/>
          </w:tcPr>
          <w:p w:rsidR="008633F3" w:rsidRDefault="00CD48CE">
            <w:pPr>
              <w:rPr>
                <w:sz w:val="20"/>
                <w:szCs w:val="20"/>
              </w:rPr>
            </w:pPr>
            <w:r>
              <w:rPr>
                <w:sz w:val="20"/>
                <w:szCs w:val="20"/>
              </w:rPr>
              <w:t>CS6</w:t>
            </w:r>
          </w:p>
        </w:tc>
        <w:tc>
          <w:tcPr>
            <w:tcW w:w="6866" w:type="dxa"/>
          </w:tcPr>
          <w:p w:rsidR="008633F3" w:rsidRDefault="00CD48CE" w:rsidP="002D225C">
            <w:pPr>
              <w:jc w:val="both"/>
              <w:rPr>
                <w:sz w:val="20"/>
                <w:szCs w:val="20"/>
              </w:rPr>
            </w:pPr>
            <w:r>
              <w:rPr>
                <w:sz w:val="20"/>
                <w:szCs w:val="20"/>
              </w:rPr>
              <w:t>‘Should avoid impacts on SSSI’s is a statement that lacks ambition – any proposals should prove that there is no impact.</w:t>
            </w:r>
          </w:p>
        </w:tc>
      </w:tr>
      <w:tr w:rsidR="008633F3" w:rsidTr="000804B3">
        <w:tc>
          <w:tcPr>
            <w:tcW w:w="1242" w:type="dxa"/>
          </w:tcPr>
          <w:p w:rsidR="008633F3" w:rsidRDefault="00012CDE">
            <w:pPr>
              <w:rPr>
                <w:sz w:val="20"/>
                <w:szCs w:val="20"/>
              </w:rPr>
            </w:pPr>
            <w:r>
              <w:rPr>
                <w:sz w:val="20"/>
                <w:szCs w:val="20"/>
              </w:rPr>
              <w:t>MM18</w:t>
            </w:r>
          </w:p>
        </w:tc>
        <w:tc>
          <w:tcPr>
            <w:tcW w:w="1134" w:type="dxa"/>
          </w:tcPr>
          <w:p w:rsidR="008633F3" w:rsidRDefault="00012CDE">
            <w:pPr>
              <w:rPr>
                <w:sz w:val="20"/>
                <w:szCs w:val="20"/>
              </w:rPr>
            </w:pPr>
            <w:r>
              <w:rPr>
                <w:sz w:val="20"/>
                <w:szCs w:val="20"/>
              </w:rPr>
              <w:t>CS6 Explanation</w:t>
            </w:r>
          </w:p>
        </w:tc>
        <w:tc>
          <w:tcPr>
            <w:tcW w:w="6866" w:type="dxa"/>
          </w:tcPr>
          <w:p w:rsidR="008633F3" w:rsidRDefault="00012CDE">
            <w:pPr>
              <w:rPr>
                <w:sz w:val="20"/>
                <w:szCs w:val="20"/>
              </w:rPr>
            </w:pPr>
            <w:r>
              <w:rPr>
                <w:sz w:val="20"/>
                <w:szCs w:val="20"/>
              </w:rPr>
              <w:t>Generally supportive.</w:t>
            </w:r>
          </w:p>
        </w:tc>
      </w:tr>
      <w:tr w:rsidR="00A248CD" w:rsidTr="000804B3">
        <w:tc>
          <w:tcPr>
            <w:tcW w:w="1242" w:type="dxa"/>
          </w:tcPr>
          <w:p w:rsidR="00A248CD" w:rsidRDefault="00012CDE">
            <w:pPr>
              <w:rPr>
                <w:sz w:val="20"/>
                <w:szCs w:val="20"/>
              </w:rPr>
            </w:pPr>
            <w:r>
              <w:rPr>
                <w:sz w:val="20"/>
                <w:szCs w:val="20"/>
              </w:rPr>
              <w:lastRenderedPageBreak/>
              <w:t>MM19</w:t>
            </w:r>
          </w:p>
        </w:tc>
        <w:tc>
          <w:tcPr>
            <w:tcW w:w="1134" w:type="dxa"/>
          </w:tcPr>
          <w:p w:rsidR="00A248CD" w:rsidRDefault="00012CDE">
            <w:pPr>
              <w:rPr>
                <w:sz w:val="20"/>
                <w:szCs w:val="20"/>
              </w:rPr>
            </w:pPr>
            <w:r>
              <w:rPr>
                <w:sz w:val="20"/>
                <w:szCs w:val="20"/>
              </w:rPr>
              <w:t>CS7</w:t>
            </w:r>
          </w:p>
        </w:tc>
        <w:tc>
          <w:tcPr>
            <w:tcW w:w="6866" w:type="dxa"/>
          </w:tcPr>
          <w:p w:rsidR="00A248CD" w:rsidRDefault="00012CDE" w:rsidP="002D225C">
            <w:pPr>
              <w:jc w:val="both"/>
              <w:rPr>
                <w:sz w:val="20"/>
                <w:szCs w:val="20"/>
              </w:rPr>
            </w:pPr>
            <w:r>
              <w:rPr>
                <w:sz w:val="20"/>
                <w:szCs w:val="20"/>
              </w:rPr>
              <w:t>The references to green infrastructure lacks ambition as seen in the SPD and appears to be relegated to low lying areas unfit for development and a few trees planted along some roads.</w:t>
            </w:r>
          </w:p>
          <w:p w:rsidR="00012CDE" w:rsidRPr="00E17B35" w:rsidRDefault="00012CDE" w:rsidP="002D225C">
            <w:pPr>
              <w:jc w:val="both"/>
              <w:rPr>
                <w:sz w:val="16"/>
                <w:szCs w:val="16"/>
              </w:rPr>
            </w:pPr>
          </w:p>
        </w:tc>
      </w:tr>
      <w:tr w:rsidR="00012CDE" w:rsidTr="000804B3">
        <w:tc>
          <w:tcPr>
            <w:tcW w:w="1242" w:type="dxa"/>
          </w:tcPr>
          <w:p w:rsidR="00012CDE" w:rsidRDefault="00012CDE">
            <w:pPr>
              <w:rPr>
                <w:sz w:val="20"/>
                <w:szCs w:val="20"/>
              </w:rPr>
            </w:pPr>
            <w:r>
              <w:rPr>
                <w:sz w:val="20"/>
                <w:szCs w:val="20"/>
              </w:rPr>
              <w:t>MM20</w:t>
            </w:r>
          </w:p>
        </w:tc>
        <w:tc>
          <w:tcPr>
            <w:tcW w:w="1134" w:type="dxa"/>
          </w:tcPr>
          <w:p w:rsidR="00012CDE" w:rsidRDefault="00012CDE">
            <w:pPr>
              <w:rPr>
                <w:sz w:val="20"/>
                <w:szCs w:val="20"/>
              </w:rPr>
            </w:pPr>
            <w:r>
              <w:rPr>
                <w:sz w:val="20"/>
                <w:szCs w:val="20"/>
              </w:rPr>
              <w:t>CS7 Explanation</w:t>
            </w:r>
          </w:p>
        </w:tc>
        <w:tc>
          <w:tcPr>
            <w:tcW w:w="6866" w:type="dxa"/>
          </w:tcPr>
          <w:p w:rsidR="00012CDE" w:rsidRDefault="00012CDE" w:rsidP="002D225C">
            <w:pPr>
              <w:jc w:val="both"/>
              <w:rPr>
                <w:sz w:val="20"/>
                <w:szCs w:val="20"/>
              </w:rPr>
            </w:pPr>
            <w:r>
              <w:rPr>
                <w:sz w:val="20"/>
                <w:szCs w:val="20"/>
              </w:rPr>
              <w:t>Fine words.</w:t>
            </w:r>
          </w:p>
        </w:tc>
      </w:tr>
      <w:tr w:rsidR="00012CDE" w:rsidTr="000804B3">
        <w:tc>
          <w:tcPr>
            <w:tcW w:w="1242" w:type="dxa"/>
          </w:tcPr>
          <w:p w:rsidR="00012CDE" w:rsidRDefault="00012CDE">
            <w:pPr>
              <w:rPr>
                <w:sz w:val="20"/>
                <w:szCs w:val="20"/>
              </w:rPr>
            </w:pPr>
            <w:r>
              <w:rPr>
                <w:sz w:val="20"/>
                <w:szCs w:val="20"/>
              </w:rPr>
              <w:t>MM21</w:t>
            </w:r>
          </w:p>
        </w:tc>
        <w:tc>
          <w:tcPr>
            <w:tcW w:w="1134" w:type="dxa"/>
          </w:tcPr>
          <w:p w:rsidR="00012CDE" w:rsidRDefault="00012CDE">
            <w:pPr>
              <w:rPr>
                <w:sz w:val="20"/>
                <w:szCs w:val="20"/>
              </w:rPr>
            </w:pPr>
            <w:r>
              <w:rPr>
                <w:sz w:val="20"/>
                <w:szCs w:val="20"/>
              </w:rPr>
              <w:t>CS8</w:t>
            </w:r>
          </w:p>
        </w:tc>
        <w:tc>
          <w:tcPr>
            <w:tcW w:w="6866" w:type="dxa"/>
          </w:tcPr>
          <w:p w:rsidR="00012CDE" w:rsidRDefault="00012CDE" w:rsidP="002D225C">
            <w:pPr>
              <w:jc w:val="both"/>
              <w:rPr>
                <w:sz w:val="20"/>
                <w:szCs w:val="20"/>
              </w:rPr>
            </w:pPr>
            <w:r>
              <w:rPr>
                <w:sz w:val="20"/>
                <w:szCs w:val="20"/>
              </w:rPr>
              <w:t>Statements that are not at all water tight and very much open to subjective arguments: assessments to date appear to generate the desired answers.</w:t>
            </w:r>
          </w:p>
        </w:tc>
      </w:tr>
      <w:tr w:rsidR="00012CDE" w:rsidTr="000804B3">
        <w:tc>
          <w:tcPr>
            <w:tcW w:w="1242" w:type="dxa"/>
          </w:tcPr>
          <w:p w:rsidR="00012CDE" w:rsidRDefault="00A35954">
            <w:pPr>
              <w:rPr>
                <w:sz w:val="20"/>
                <w:szCs w:val="20"/>
              </w:rPr>
            </w:pPr>
            <w:r>
              <w:rPr>
                <w:sz w:val="20"/>
                <w:szCs w:val="20"/>
              </w:rPr>
              <w:t>MM22</w:t>
            </w:r>
          </w:p>
        </w:tc>
        <w:tc>
          <w:tcPr>
            <w:tcW w:w="1134" w:type="dxa"/>
          </w:tcPr>
          <w:p w:rsidR="00012CDE" w:rsidRDefault="00A35954">
            <w:pPr>
              <w:rPr>
                <w:sz w:val="20"/>
                <w:szCs w:val="20"/>
              </w:rPr>
            </w:pPr>
            <w:r>
              <w:rPr>
                <w:sz w:val="20"/>
                <w:szCs w:val="20"/>
              </w:rPr>
              <w:t>CS8 DMCs</w:t>
            </w:r>
          </w:p>
        </w:tc>
        <w:tc>
          <w:tcPr>
            <w:tcW w:w="6866" w:type="dxa"/>
          </w:tcPr>
          <w:p w:rsidR="00012CDE" w:rsidRDefault="00A35954" w:rsidP="002D225C">
            <w:pPr>
              <w:jc w:val="both"/>
              <w:rPr>
                <w:sz w:val="20"/>
                <w:szCs w:val="20"/>
              </w:rPr>
            </w:pPr>
            <w:r>
              <w:rPr>
                <w:sz w:val="20"/>
                <w:szCs w:val="20"/>
              </w:rPr>
              <w:t>Sounds positive.</w:t>
            </w:r>
          </w:p>
        </w:tc>
      </w:tr>
      <w:tr w:rsidR="00A35954" w:rsidTr="000804B3">
        <w:tc>
          <w:tcPr>
            <w:tcW w:w="1242" w:type="dxa"/>
          </w:tcPr>
          <w:p w:rsidR="00A35954" w:rsidRDefault="00A35954">
            <w:pPr>
              <w:rPr>
                <w:sz w:val="20"/>
                <w:szCs w:val="20"/>
              </w:rPr>
            </w:pPr>
            <w:r>
              <w:rPr>
                <w:sz w:val="20"/>
                <w:szCs w:val="20"/>
              </w:rPr>
              <w:t>MM23</w:t>
            </w:r>
          </w:p>
        </w:tc>
        <w:tc>
          <w:tcPr>
            <w:tcW w:w="1134" w:type="dxa"/>
          </w:tcPr>
          <w:p w:rsidR="00A35954" w:rsidRDefault="00A35954">
            <w:pPr>
              <w:rPr>
                <w:sz w:val="20"/>
                <w:szCs w:val="20"/>
              </w:rPr>
            </w:pPr>
            <w:r>
              <w:rPr>
                <w:sz w:val="20"/>
                <w:szCs w:val="20"/>
              </w:rPr>
              <w:t>CS9</w:t>
            </w:r>
          </w:p>
        </w:tc>
        <w:tc>
          <w:tcPr>
            <w:tcW w:w="6866" w:type="dxa"/>
          </w:tcPr>
          <w:p w:rsidR="00A35954" w:rsidRDefault="00A35954" w:rsidP="002D225C">
            <w:pPr>
              <w:jc w:val="both"/>
              <w:rPr>
                <w:sz w:val="20"/>
                <w:szCs w:val="20"/>
              </w:rPr>
            </w:pPr>
            <w:r>
              <w:rPr>
                <w:sz w:val="20"/>
                <w:szCs w:val="20"/>
              </w:rPr>
              <w:t>‘Schemes linked to evening and night time economy … to help manage anti-social behaviour.’ GPC supports this statement but has seen no evidence of it being translated into the SPD for GLH or planning applications that are seemingly endorsed by SDC. Schemes need to be linked to the breadth of the community especially if they are located away from major centres of population.</w:t>
            </w:r>
          </w:p>
        </w:tc>
      </w:tr>
      <w:tr w:rsidR="00A35954" w:rsidTr="000804B3">
        <w:tc>
          <w:tcPr>
            <w:tcW w:w="1242" w:type="dxa"/>
          </w:tcPr>
          <w:p w:rsidR="00A35954" w:rsidRDefault="00A35954">
            <w:pPr>
              <w:rPr>
                <w:sz w:val="20"/>
                <w:szCs w:val="20"/>
              </w:rPr>
            </w:pPr>
            <w:r>
              <w:rPr>
                <w:sz w:val="20"/>
                <w:szCs w:val="20"/>
              </w:rPr>
              <w:t>MM24</w:t>
            </w:r>
          </w:p>
        </w:tc>
        <w:tc>
          <w:tcPr>
            <w:tcW w:w="1134" w:type="dxa"/>
          </w:tcPr>
          <w:p w:rsidR="00A35954" w:rsidRDefault="00A35954">
            <w:pPr>
              <w:rPr>
                <w:sz w:val="20"/>
                <w:szCs w:val="20"/>
              </w:rPr>
            </w:pPr>
            <w:r>
              <w:rPr>
                <w:sz w:val="20"/>
                <w:szCs w:val="20"/>
              </w:rPr>
              <w:t>CS9 DMCs</w:t>
            </w:r>
          </w:p>
        </w:tc>
        <w:tc>
          <w:tcPr>
            <w:tcW w:w="6866" w:type="dxa"/>
          </w:tcPr>
          <w:p w:rsidR="00A35954" w:rsidRDefault="00A35954">
            <w:pPr>
              <w:rPr>
                <w:sz w:val="20"/>
                <w:szCs w:val="20"/>
              </w:rPr>
            </w:pPr>
            <w:r>
              <w:rPr>
                <w:sz w:val="20"/>
                <w:szCs w:val="20"/>
              </w:rPr>
              <w:t>No comment.</w:t>
            </w:r>
          </w:p>
        </w:tc>
      </w:tr>
      <w:tr w:rsidR="00012CDE" w:rsidTr="000804B3">
        <w:tc>
          <w:tcPr>
            <w:tcW w:w="1242" w:type="dxa"/>
          </w:tcPr>
          <w:p w:rsidR="00012CDE" w:rsidRDefault="00A35954">
            <w:pPr>
              <w:rPr>
                <w:sz w:val="20"/>
                <w:szCs w:val="20"/>
              </w:rPr>
            </w:pPr>
            <w:r>
              <w:rPr>
                <w:sz w:val="20"/>
                <w:szCs w:val="20"/>
              </w:rPr>
              <w:t>MM25</w:t>
            </w:r>
          </w:p>
        </w:tc>
        <w:tc>
          <w:tcPr>
            <w:tcW w:w="1134" w:type="dxa"/>
          </w:tcPr>
          <w:p w:rsidR="00012CDE" w:rsidRDefault="00A35954">
            <w:pPr>
              <w:rPr>
                <w:sz w:val="20"/>
                <w:szCs w:val="20"/>
              </w:rPr>
            </w:pPr>
            <w:r>
              <w:rPr>
                <w:sz w:val="20"/>
                <w:szCs w:val="20"/>
              </w:rPr>
              <w:t>CS10</w:t>
            </w:r>
          </w:p>
        </w:tc>
        <w:tc>
          <w:tcPr>
            <w:tcW w:w="6866" w:type="dxa"/>
          </w:tcPr>
          <w:p w:rsidR="00012CDE" w:rsidRDefault="00D6725E" w:rsidP="002D225C">
            <w:pPr>
              <w:jc w:val="both"/>
              <w:rPr>
                <w:sz w:val="20"/>
                <w:szCs w:val="20"/>
              </w:rPr>
            </w:pPr>
            <w:r>
              <w:rPr>
                <w:sz w:val="20"/>
                <w:szCs w:val="20"/>
              </w:rPr>
              <w:t>‘</w:t>
            </w:r>
            <w:proofErr w:type="gramStart"/>
            <w:r>
              <w:rPr>
                <w:sz w:val="20"/>
                <w:szCs w:val="20"/>
              </w:rPr>
              <w:t>not</w:t>
            </w:r>
            <w:proofErr w:type="gramEnd"/>
            <w:r>
              <w:rPr>
                <w:sz w:val="20"/>
                <w:szCs w:val="20"/>
              </w:rPr>
              <w:t xml:space="preserve"> inappropriate’ – not especially clear as it is intended to be non-committal?</w:t>
            </w:r>
          </w:p>
          <w:p w:rsidR="00D6725E" w:rsidRDefault="00D6725E" w:rsidP="002D225C">
            <w:pPr>
              <w:jc w:val="both"/>
              <w:rPr>
                <w:sz w:val="20"/>
                <w:szCs w:val="20"/>
              </w:rPr>
            </w:pPr>
            <w:r>
              <w:rPr>
                <w:sz w:val="20"/>
                <w:szCs w:val="20"/>
              </w:rPr>
              <w:t>The green belt appears to be a moveable feast/concept but one that promises to diminish in size.</w:t>
            </w:r>
          </w:p>
        </w:tc>
      </w:tr>
      <w:tr w:rsidR="00A35954" w:rsidTr="000804B3">
        <w:tc>
          <w:tcPr>
            <w:tcW w:w="1242" w:type="dxa"/>
          </w:tcPr>
          <w:p w:rsidR="00A35954" w:rsidRDefault="00D6725E">
            <w:pPr>
              <w:rPr>
                <w:sz w:val="20"/>
                <w:szCs w:val="20"/>
              </w:rPr>
            </w:pPr>
            <w:r>
              <w:rPr>
                <w:sz w:val="20"/>
                <w:szCs w:val="20"/>
              </w:rPr>
              <w:t>MM26</w:t>
            </w:r>
          </w:p>
        </w:tc>
        <w:tc>
          <w:tcPr>
            <w:tcW w:w="1134" w:type="dxa"/>
          </w:tcPr>
          <w:p w:rsidR="00A35954" w:rsidRDefault="00D6725E">
            <w:pPr>
              <w:rPr>
                <w:sz w:val="20"/>
                <w:szCs w:val="20"/>
              </w:rPr>
            </w:pPr>
            <w:r>
              <w:rPr>
                <w:sz w:val="20"/>
                <w:szCs w:val="20"/>
              </w:rPr>
              <w:t xml:space="preserve">CS10 Explanation </w:t>
            </w:r>
          </w:p>
        </w:tc>
        <w:tc>
          <w:tcPr>
            <w:tcW w:w="6866" w:type="dxa"/>
          </w:tcPr>
          <w:p w:rsidR="00A35954" w:rsidRDefault="001379EB" w:rsidP="002D225C">
            <w:pPr>
              <w:jc w:val="both"/>
              <w:rPr>
                <w:sz w:val="20"/>
                <w:szCs w:val="20"/>
              </w:rPr>
            </w:pPr>
            <w:r>
              <w:rPr>
                <w:sz w:val="20"/>
                <w:szCs w:val="20"/>
              </w:rPr>
              <w:t>It really does appear that MM03 ‘to maintain and enhance landscape’ is one that can’t be realised and that the Green Belt as a safeguard against conurbation is diminished over the lifetime of this Core Strategy.</w:t>
            </w:r>
          </w:p>
        </w:tc>
      </w:tr>
      <w:tr w:rsidR="00A35954" w:rsidTr="000804B3">
        <w:tc>
          <w:tcPr>
            <w:tcW w:w="1242" w:type="dxa"/>
          </w:tcPr>
          <w:p w:rsidR="00A35954" w:rsidRDefault="001379EB">
            <w:pPr>
              <w:rPr>
                <w:sz w:val="20"/>
                <w:szCs w:val="20"/>
              </w:rPr>
            </w:pPr>
            <w:r>
              <w:rPr>
                <w:sz w:val="20"/>
                <w:szCs w:val="20"/>
              </w:rPr>
              <w:t>MM27</w:t>
            </w:r>
          </w:p>
        </w:tc>
        <w:tc>
          <w:tcPr>
            <w:tcW w:w="1134" w:type="dxa"/>
          </w:tcPr>
          <w:p w:rsidR="00A35954" w:rsidRDefault="001379EB">
            <w:pPr>
              <w:rPr>
                <w:sz w:val="20"/>
                <w:szCs w:val="20"/>
              </w:rPr>
            </w:pPr>
            <w:r>
              <w:rPr>
                <w:sz w:val="20"/>
                <w:szCs w:val="20"/>
              </w:rPr>
              <w:t>CS10 DMCs</w:t>
            </w:r>
          </w:p>
        </w:tc>
        <w:tc>
          <w:tcPr>
            <w:tcW w:w="6866" w:type="dxa"/>
          </w:tcPr>
          <w:p w:rsidR="00A35954" w:rsidRDefault="001379EB" w:rsidP="002D225C">
            <w:pPr>
              <w:jc w:val="both"/>
              <w:rPr>
                <w:sz w:val="20"/>
                <w:szCs w:val="20"/>
              </w:rPr>
            </w:pPr>
            <w:r>
              <w:rPr>
                <w:sz w:val="20"/>
                <w:szCs w:val="20"/>
              </w:rPr>
              <w:t>No comment.</w:t>
            </w:r>
          </w:p>
        </w:tc>
      </w:tr>
      <w:tr w:rsidR="001379EB" w:rsidTr="000804B3">
        <w:tc>
          <w:tcPr>
            <w:tcW w:w="1242" w:type="dxa"/>
          </w:tcPr>
          <w:p w:rsidR="001379EB" w:rsidRDefault="001379EB">
            <w:pPr>
              <w:rPr>
                <w:sz w:val="20"/>
                <w:szCs w:val="20"/>
              </w:rPr>
            </w:pPr>
            <w:r>
              <w:rPr>
                <w:sz w:val="20"/>
                <w:szCs w:val="20"/>
              </w:rPr>
              <w:t>MM28</w:t>
            </w:r>
          </w:p>
        </w:tc>
        <w:tc>
          <w:tcPr>
            <w:tcW w:w="1134" w:type="dxa"/>
          </w:tcPr>
          <w:p w:rsidR="001379EB" w:rsidRDefault="001379EB">
            <w:pPr>
              <w:rPr>
                <w:sz w:val="20"/>
                <w:szCs w:val="20"/>
              </w:rPr>
            </w:pPr>
            <w:r>
              <w:rPr>
                <w:sz w:val="20"/>
                <w:szCs w:val="20"/>
              </w:rPr>
              <w:t>CS12</w:t>
            </w:r>
          </w:p>
        </w:tc>
        <w:tc>
          <w:tcPr>
            <w:tcW w:w="6866" w:type="dxa"/>
          </w:tcPr>
          <w:p w:rsidR="001379EB" w:rsidRDefault="001379EB" w:rsidP="002D225C">
            <w:pPr>
              <w:jc w:val="both"/>
              <w:rPr>
                <w:sz w:val="20"/>
                <w:szCs w:val="20"/>
              </w:rPr>
            </w:pPr>
            <w:r>
              <w:rPr>
                <w:sz w:val="20"/>
                <w:szCs w:val="20"/>
              </w:rPr>
              <w:t>Sounds good but hardly compensation for what is deleted. ‘Taken into account’ means nothing in reality.</w:t>
            </w:r>
            <w:r w:rsidR="00D526BA">
              <w:rPr>
                <w:sz w:val="20"/>
                <w:szCs w:val="20"/>
              </w:rPr>
              <w:t xml:space="preserve"> T</w:t>
            </w:r>
            <w:r w:rsidR="00D526BA" w:rsidRPr="00D526BA">
              <w:rPr>
                <w:sz w:val="20"/>
                <w:szCs w:val="20"/>
              </w:rPr>
              <w:t>he original</w:t>
            </w:r>
            <w:r w:rsidR="00D526BA">
              <w:rPr>
                <w:sz w:val="20"/>
                <w:szCs w:val="20"/>
              </w:rPr>
              <w:t xml:space="preserve"> text should therefore be reinstated.</w:t>
            </w:r>
          </w:p>
        </w:tc>
      </w:tr>
      <w:tr w:rsidR="001379EB" w:rsidTr="000804B3">
        <w:tc>
          <w:tcPr>
            <w:tcW w:w="1242" w:type="dxa"/>
          </w:tcPr>
          <w:p w:rsidR="001379EB" w:rsidRDefault="001379EB">
            <w:pPr>
              <w:rPr>
                <w:sz w:val="20"/>
                <w:szCs w:val="20"/>
              </w:rPr>
            </w:pPr>
            <w:r>
              <w:rPr>
                <w:sz w:val="20"/>
                <w:szCs w:val="20"/>
              </w:rPr>
              <w:t>MM29</w:t>
            </w:r>
          </w:p>
        </w:tc>
        <w:tc>
          <w:tcPr>
            <w:tcW w:w="1134" w:type="dxa"/>
          </w:tcPr>
          <w:p w:rsidR="001379EB" w:rsidRDefault="001379EB">
            <w:pPr>
              <w:rPr>
                <w:sz w:val="20"/>
                <w:szCs w:val="20"/>
              </w:rPr>
            </w:pPr>
            <w:r>
              <w:rPr>
                <w:sz w:val="20"/>
                <w:szCs w:val="20"/>
              </w:rPr>
              <w:t>CS12 DMCs</w:t>
            </w:r>
          </w:p>
        </w:tc>
        <w:tc>
          <w:tcPr>
            <w:tcW w:w="6866" w:type="dxa"/>
          </w:tcPr>
          <w:p w:rsidR="001379EB" w:rsidRDefault="001379EB">
            <w:pPr>
              <w:rPr>
                <w:sz w:val="20"/>
                <w:szCs w:val="20"/>
              </w:rPr>
            </w:pPr>
            <w:r>
              <w:rPr>
                <w:sz w:val="20"/>
                <w:szCs w:val="20"/>
              </w:rPr>
              <w:t>As above.</w:t>
            </w:r>
          </w:p>
        </w:tc>
      </w:tr>
      <w:tr w:rsidR="001379EB" w:rsidTr="000804B3">
        <w:tc>
          <w:tcPr>
            <w:tcW w:w="1242" w:type="dxa"/>
          </w:tcPr>
          <w:p w:rsidR="001379EB" w:rsidRDefault="001379EB">
            <w:pPr>
              <w:rPr>
                <w:sz w:val="20"/>
                <w:szCs w:val="20"/>
              </w:rPr>
            </w:pPr>
            <w:r>
              <w:rPr>
                <w:sz w:val="20"/>
                <w:szCs w:val="20"/>
              </w:rPr>
              <w:t>MM30</w:t>
            </w:r>
          </w:p>
        </w:tc>
        <w:tc>
          <w:tcPr>
            <w:tcW w:w="1134" w:type="dxa"/>
          </w:tcPr>
          <w:p w:rsidR="001379EB" w:rsidRDefault="001379EB">
            <w:pPr>
              <w:rPr>
                <w:sz w:val="20"/>
                <w:szCs w:val="20"/>
              </w:rPr>
            </w:pPr>
            <w:r>
              <w:rPr>
                <w:sz w:val="20"/>
                <w:szCs w:val="20"/>
              </w:rPr>
              <w:t>CS15</w:t>
            </w:r>
          </w:p>
        </w:tc>
        <w:tc>
          <w:tcPr>
            <w:tcW w:w="6866" w:type="dxa"/>
          </w:tcPr>
          <w:p w:rsidR="001379EB" w:rsidRDefault="001379EB" w:rsidP="002D225C">
            <w:pPr>
              <w:jc w:val="both"/>
              <w:rPr>
                <w:sz w:val="20"/>
                <w:szCs w:val="20"/>
              </w:rPr>
            </w:pPr>
            <w:r>
              <w:rPr>
                <w:sz w:val="20"/>
                <w:szCs w:val="20"/>
              </w:rPr>
              <w:t>Reference to ‘sustainable locations’ is a key point but needs to be backed up through the SPD and planning applications currently being forced through in regarding to GLH as seen in S</w:t>
            </w:r>
            <w:r w:rsidR="00024EC6">
              <w:rPr>
                <w:sz w:val="20"/>
                <w:szCs w:val="20"/>
              </w:rPr>
              <w:t>ection C</w:t>
            </w:r>
            <w:r>
              <w:rPr>
                <w:sz w:val="20"/>
                <w:szCs w:val="20"/>
              </w:rPr>
              <w:t>.</w:t>
            </w:r>
          </w:p>
          <w:p w:rsidR="001379EB" w:rsidRPr="00E17B35" w:rsidRDefault="001379EB" w:rsidP="002D225C">
            <w:pPr>
              <w:jc w:val="both"/>
              <w:rPr>
                <w:sz w:val="16"/>
                <w:szCs w:val="16"/>
              </w:rPr>
            </w:pPr>
          </w:p>
          <w:p w:rsidR="001379EB" w:rsidRDefault="001379EB" w:rsidP="002D225C">
            <w:pPr>
              <w:jc w:val="both"/>
              <w:rPr>
                <w:sz w:val="20"/>
                <w:szCs w:val="20"/>
              </w:rPr>
            </w:pPr>
            <w:r>
              <w:rPr>
                <w:sz w:val="20"/>
                <w:szCs w:val="20"/>
              </w:rPr>
              <w:t xml:space="preserve">GPC has consistently noted that there has been insufficient infrastructure planned for this location if it is to be </w:t>
            </w:r>
            <w:r w:rsidR="00024EC6">
              <w:rPr>
                <w:sz w:val="20"/>
                <w:szCs w:val="20"/>
              </w:rPr>
              <w:t>sustainable</w:t>
            </w:r>
            <w:r>
              <w:rPr>
                <w:sz w:val="20"/>
                <w:szCs w:val="20"/>
              </w:rPr>
              <w:t xml:space="preserve">: a housing estate reliant on the private car in a rural location is not sustainable: a new small town with a full range of facilities and </w:t>
            </w:r>
            <w:r w:rsidR="00024EC6">
              <w:rPr>
                <w:sz w:val="20"/>
                <w:szCs w:val="20"/>
              </w:rPr>
              <w:t>with multiple routes of entry and exit coupled with a form of public transport might well be. This seems to be far more evident in the LM model than the GLH model.</w:t>
            </w:r>
          </w:p>
          <w:p w:rsidR="00024EC6" w:rsidRPr="00E17B35" w:rsidRDefault="00024EC6" w:rsidP="002D225C">
            <w:pPr>
              <w:jc w:val="both"/>
              <w:rPr>
                <w:sz w:val="16"/>
                <w:szCs w:val="16"/>
              </w:rPr>
            </w:pPr>
          </w:p>
          <w:p w:rsidR="00024EC6" w:rsidRDefault="00024EC6" w:rsidP="002D225C">
            <w:pPr>
              <w:jc w:val="both"/>
              <w:rPr>
                <w:sz w:val="20"/>
                <w:szCs w:val="20"/>
              </w:rPr>
            </w:pPr>
            <w:r>
              <w:rPr>
                <w:sz w:val="20"/>
                <w:szCs w:val="20"/>
              </w:rPr>
              <w:t xml:space="preserve">Safeguards to ensure that facilities are included at the earliest stages of development need to be pursued vigorously if any new settlement is to avoid being any other than a seedbed for anti-social problems. </w:t>
            </w:r>
          </w:p>
          <w:p w:rsidR="00024EC6" w:rsidRPr="00E17B35" w:rsidRDefault="00024EC6" w:rsidP="002D225C">
            <w:pPr>
              <w:jc w:val="both"/>
              <w:rPr>
                <w:sz w:val="16"/>
                <w:szCs w:val="16"/>
              </w:rPr>
            </w:pPr>
          </w:p>
          <w:p w:rsidR="00024EC6" w:rsidRDefault="00024EC6" w:rsidP="002D225C">
            <w:pPr>
              <w:jc w:val="both"/>
              <w:rPr>
                <w:sz w:val="20"/>
                <w:szCs w:val="20"/>
              </w:rPr>
            </w:pPr>
            <w:r>
              <w:rPr>
                <w:sz w:val="20"/>
                <w:szCs w:val="20"/>
              </w:rPr>
              <w:t xml:space="preserve">In Section D, the cumulative impact again needs to be measured especially with regard to educational and health provision: development encouraged where there is capacity. Where there isn’t capacity from the start, either capacity has to be built in or development proposals shelved. GPC notes that in terms of Southam College, there is limited capacity for growth even if </w:t>
            </w:r>
            <w:r w:rsidR="00377E8C">
              <w:rPr>
                <w:sz w:val="20"/>
                <w:szCs w:val="20"/>
              </w:rPr>
              <w:t xml:space="preserve">the </w:t>
            </w:r>
            <w:r>
              <w:rPr>
                <w:sz w:val="20"/>
                <w:szCs w:val="20"/>
              </w:rPr>
              <w:t xml:space="preserve">admission </w:t>
            </w:r>
            <w:r w:rsidR="00377E8C">
              <w:rPr>
                <w:sz w:val="20"/>
                <w:szCs w:val="20"/>
              </w:rPr>
              <w:t>criterion was</w:t>
            </w:r>
            <w:r>
              <w:rPr>
                <w:sz w:val="20"/>
                <w:szCs w:val="20"/>
              </w:rPr>
              <w:t xml:space="preserve"> to be more strictly interpreted.</w:t>
            </w:r>
          </w:p>
        </w:tc>
      </w:tr>
      <w:tr w:rsidR="001379EB" w:rsidTr="000804B3">
        <w:tc>
          <w:tcPr>
            <w:tcW w:w="1242" w:type="dxa"/>
          </w:tcPr>
          <w:p w:rsidR="001379EB" w:rsidRDefault="00B25A5C">
            <w:pPr>
              <w:rPr>
                <w:sz w:val="20"/>
                <w:szCs w:val="20"/>
              </w:rPr>
            </w:pPr>
            <w:r>
              <w:rPr>
                <w:sz w:val="20"/>
                <w:szCs w:val="20"/>
              </w:rPr>
              <w:t>MM31</w:t>
            </w:r>
          </w:p>
        </w:tc>
        <w:tc>
          <w:tcPr>
            <w:tcW w:w="1134" w:type="dxa"/>
          </w:tcPr>
          <w:p w:rsidR="001379EB" w:rsidRDefault="00B25A5C">
            <w:pPr>
              <w:rPr>
                <w:sz w:val="20"/>
                <w:szCs w:val="20"/>
              </w:rPr>
            </w:pPr>
            <w:r>
              <w:rPr>
                <w:sz w:val="20"/>
                <w:szCs w:val="20"/>
              </w:rPr>
              <w:t>CS15 Explanation</w:t>
            </w:r>
          </w:p>
        </w:tc>
        <w:tc>
          <w:tcPr>
            <w:tcW w:w="6866" w:type="dxa"/>
          </w:tcPr>
          <w:p w:rsidR="001379EB" w:rsidRDefault="00D85202" w:rsidP="002D225C">
            <w:pPr>
              <w:jc w:val="both"/>
              <w:rPr>
                <w:sz w:val="20"/>
                <w:szCs w:val="20"/>
              </w:rPr>
            </w:pPr>
            <w:r>
              <w:rPr>
                <w:sz w:val="20"/>
                <w:szCs w:val="20"/>
              </w:rPr>
              <w:t>The cumulative impact in including Stockton into Category2 needs to be included – GPC refers back to secondary provision.</w:t>
            </w:r>
          </w:p>
          <w:p w:rsidR="00D85202" w:rsidRPr="00E17B35" w:rsidRDefault="00D85202" w:rsidP="002D225C">
            <w:pPr>
              <w:jc w:val="both"/>
              <w:rPr>
                <w:sz w:val="16"/>
                <w:szCs w:val="16"/>
              </w:rPr>
            </w:pPr>
          </w:p>
          <w:p w:rsidR="009745DB" w:rsidRDefault="00D85202" w:rsidP="002D225C">
            <w:pPr>
              <w:jc w:val="both"/>
              <w:rPr>
                <w:sz w:val="20"/>
                <w:szCs w:val="20"/>
              </w:rPr>
            </w:pPr>
            <w:r>
              <w:rPr>
                <w:sz w:val="20"/>
                <w:szCs w:val="20"/>
              </w:rPr>
              <w:t xml:space="preserve">5.1.15 to 5.1.17 </w:t>
            </w:r>
            <w:r w:rsidR="009745DB">
              <w:rPr>
                <w:sz w:val="20"/>
                <w:szCs w:val="20"/>
              </w:rPr>
              <w:t>–</w:t>
            </w:r>
            <w:r>
              <w:rPr>
                <w:sz w:val="20"/>
                <w:szCs w:val="20"/>
              </w:rPr>
              <w:t xml:space="preserve"> </w:t>
            </w:r>
            <w:r w:rsidR="009745DB">
              <w:rPr>
                <w:sz w:val="20"/>
                <w:szCs w:val="20"/>
              </w:rPr>
              <w:t xml:space="preserve">a result of poor process and the subsequent challenge has meant that SDC has to find more capacity and must surely now have to rethink pressure on facilities including transport and secondary education as a result. </w:t>
            </w:r>
          </w:p>
          <w:p w:rsidR="009745DB" w:rsidRPr="00E17B35" w:rsidRDefault="009745DB">
            <w:pPr>
              <w:rPr>
                <w:sz w:val="16"/>
                <w:szCs w:val="16"/>
              </w:rPr>
            </w:pPr>
          </w:p>
          <w:p w:rsidR="00D85202" w:rsidRDefault="009745DB" w:rsidP="002D225C">
            <w:pPr>
              <w:jc w:val="both"/>
              <w:rPr>
                <w:sz w:val="20"/>
                <w:szCs w:val="20"/>
              </w:rPr>
            </w:pPr>
            <w:r>
              <w:rPr>
                <w:sz w:val="20"/>
                <w:szCs w:val="20"/>
              </w:rPr>
              <w:lastRenderedPageBreak/>
              <w:t>GPC notes that the politically inconvenient LM proposal that was given the most support during the initial consultations is back due to the failure of process: two new settlements to manage at a time when SDC struggled to manage one. It is noted that LM will include more facilities and that GLH will seemingly just make up the housing numbers: a political decision in the making so that anti-social behaviour is not on the doorstep of Stratford itself?</w:t>
            </w:r>
          </w:p>
          <w:p w:rsidR="009745DB" w:rsidRPr="00E17B35" w:rsidRDefault="009745DB" w:rsidP="002D225C">
            <w:pPr>
              <w:jc w:val="both"/>
              <w:rPr>
                <w:sz w:val="16"/>
                <w:szCs w:val="16"/>
              </w:rPr>
            </w:pPr>
          </w:p>
          <w:p w:rsidR="009745DB" w:rsidRDefault="009745DB" w:rsidP="002D225C">
            <w:pPr>
              <w:jc w:val="both"/>
              <w:rPr>
                <w:sz w:val="20"/>
                <w:szCs w:val="20"/>
              </w:rPr>
            </w:pPr>
            <w:r>
              <w:rPr>
                <w:sz w:val="20"/>
                <w:szCs w:val="20"/>
              </w:rPr>
              <w:t>5.1.19 – GLH has limited capacity to grow in the longer term due to the geographical constraints unless SDC are proposing to loose JLR and AML from the area.</w:t>
            </w:r>
          </w:p>
        </w:tc>
      </w:tr>
      <w:tr w:rsidR="00B25A5C" w:rsidTr="000804B3">
        <w:tc>
          <w:tcPr>
            <w:tcW w:w="1242" w:type="dxa"/>
          </w:tcPr>
          <w:p w:rsidR="00B25A5C" w:rsidRDefault="00B25A5C">
            <w:pPr>
              <w:rPr>
                <w:sz w:val="20"/>
                <w:szCs w:val="20"/>
              </w:rPr>
            </w:pPr>
            <w:r>
              <w:rPr>
                <w:sz w:val="20"/>
                <w:szCs w:val="20"/>
              </w:rPr>
              <w:lastRenderedPageBreak/>
              <w:t>MM32</w:t>
            </w:r>
          </w:p>
        </w:tc>
        <w:tc>
          <w:tcPr>
            <w:tcW w:w="1134" w:type="dxa"/>
          </w:tcPr>
          <w:p w:rsidR="00B25A5C" w:rsidRDefault="00B25A5C">
            <w:pPr>
              <w:rPr>
                <w:sz w:val="20"/>
                <w:szCs w:val="20"/>
              </w:rPr>
            </w:pPr>
            <w:r>
              <w:rPr>
                <w:sz w:val="20"/>
                <w:szCs w:val="20"/>
              </w:rPr>
              <w:t>CS15 DMCs</w:t>
            </w:r>
          </w:p>
        </w:tc>
        <w:tc>
          <w:tcPr>
            <w:tcW w:w="6866" w:type="dxa"/>
          </w:tcPr>
          <w:p w:rsidR="00B25A5C" w:rsidRDefault="009745DB">
            <w:pPr>
              <w:rPr>
                <w:sz w:val="20"/>
                <w:szCs w:val="20"/>
              </w:rPr>
            </w:pPr>
            <w:r>
              <w:rPr>
                <w:sz w:val="20"/>
                <w:szCs w:val="20"/>
              </w:rPr>
              <w:t>No comment.</w:t>
            </w:r>
          </w:p>
        </w:tc>
      </w:tr>
      <w:tr w:rsidR="00B25A5C" w:rsidTr="000804B3">
        <w:tc>
          <w:tcPr>
            <w:tcW w:w="1242" w:type="dxa"/>
          </w:tcPr>
          <w:p w:rsidR="00B25A5C" w:rsidRDefault="00B25A5C">
            <w:pPr>
              <w:rPr>
                <w:sz w:val="20"/>
                <w:szCs w:val="20"/>
              </w:rPr>
            </w:pPr>
            <w:r>
              <w:rPr>
                <w:sz w:val="20"/>
                <w:szCs w:val="20"/>
              </w:rPr>
              <w:t>MM33</w:t>
            </w:r>
          </w:p>
        </w:tc>
        <w:tc>
          <w:tcPr>
            <w:tcW w:w="1134" w:type="dxa"/>
          </w:tcPr>
          <w:p w:rsidR="00B25A5C" w:rsidRDefault="00B25A5C">
            <w:pPr>
              <w:rPr>
                <w:sz w:val="20"/>
                <w:szCs w:val="20"/>
              </w:rPr>
            </w:pPr>
            <w:r>
              <w:rPr>
                <w:sz w:val="20"/>
                <w:szCs w:val="20"/>
              </w:rPr>
              <w:t>CS16</w:t>
            </w:r>
          </w:p>
        </w:tc>
        <w:tc>
          <w:tcPr>
            <w:tcW w:w="6866" w:type="dxa"/>
          </w:tcPr>
          <w:p w:rsidR="00B25A5C" w:rsidRDefault="009745DB" w:rsidP="002D225C">
            <w:pPr>
              <w:jc w:val="both"/>
              <w:rPr>
                <w:sz w:val="20"/>
                <w:szCs w:val="20"/>
              </w:rPr>
            </w:pPr>
            <w:r>
              <w:rPr>
                <w:sz w:val="20"/>
                <w:szCs w:val="20"/>
              </w:rPr>
              <w:t>The reuse of sustainable locations is supported.</w:t>
            </w:r>
          </w:p>
          <w:p w:rsidR="009745DB" w:rsidRPr="00E17B35" w:rsidRDefault="009745DB" w:rsidP="002D225C">
            <w:pPr>
              <w:jc w:val="both"/>
              <w:rPr>
                <w:sz w:val="16"/>
                <w:szCs w:val="16"/>
              </w:rPr>
            </w:pPr>
          </w:p>
          <w:p w:rsidR="009745DB" w:rsidRDefault="009745DB" w:rsidP="002D225C">
            <w:pPr>
              <w:jc w:val="both"/>
              <w:rPr>
                <w:sz w:val="20"/>
                <w:szCs w:val="20"/>
              </w:rPr>
            </w:pPr>
            <w:r>
              <w:rPr>
                <w:sz w:val="20"/>
                <w:szCs w:val="20"/>
              </w:rPr>
              <w:t xml:space="preserve">GLH 2300 is not being matched by the planning applications coming in. Research as previously referred to by GLH </w:t>
            </w:r>
            <w:r w:rsidR="007D5782">
              <w:rPr>
                <w:sz w:val="20"/>
                <w:szCs w:val="20"/>
              </w:rPr>
              <w:t>shows that such numbers are not big enough to be truly sustainable. The original proposals for 5000 or so houses had lots of faults in terms of geography but may have been a lot more sustainable!</w:t>
            </w:r>
          </w:p>
          <w:p w:rsidR="007D5782" w:rsidRPr="00E17B35" w:rsidRDefault="007D5782" w:rsidP="002D225C">
            <w:pPr>
              <w:jc w:val="both"/>
              <w:rPr>
                <w:sz w:val="16"/>
                <w:szCs w:val="16"/>
              </w:rPr>
            </w:pPr>
          </w:p>
          <w:p w:rsidR="007D5782" w:rsidRDefault="007D5782" w:rsidP="002D225C">
            <w:pPr>
              <w:jc w:val="both"/>
              <w:rPr>
                <w:sz w:val="20"/>
                <w:szCs w:val="20"/>
              </w:rPr>
            </w:pPr>
            <w:r>
              <w:rPr>
                <w:sz w:val="20"/>
                <w:szCs w:val="20"/>
              </w:rPr>
              <w:t>The proposed development of Southam is extensive without the secondary provision really having the capacity to cope both in terms of physical space and with regard to the capacity of the local road network.</w:t>
            </w:r>
          </w:p>
          <w:p w:rsidR="007D5782" w:rsidRPr="00E17B35" w:rsidRDefault="007D5782" w:rsidP="002D225C">
            <w:pPr>
              <w:jc w:val="both"/>
              <w:rPr>
                <w:sz w:val="16"/>
                <w:szCs w:val="16"/>
              </w:rPr>
            </w:pPr>
          </w:p>
          <w:p w:rsidR="007D5782" w:rsidRDefault="007D5782" w:rsidP="002D225C">
            <w:pPr>
              <w:jc w:val="both"/>
              <w:rPr>
                <w:sz w:val="20"/>
                <w:szCs w:val="20"/>
              </w:rPr>
            </w:pPr>
            <w:r>
              <w:rPr>
                <w:sz w:val="20"/>
                <w:szCs w:val="20"/>
              </w:rPr>
              <w:t>It is noted that some category 4 villages are already shouldering more than their fair share of new housing. The 8% needs to be firmly applied and implemented as a guide per village.</w:t>
            </w:r>
          </w:p>
          <w:p w:rsidR="007D5782" w:rsidRPr="00E17B35" w:rsidRDefault="007D5782" w:rsidP="002D225C">
            <w:pPr>
              <w:jc w:val="both"/>
              <w:rPr>
                <w:sz w:val="16"/>
                <w:szCs w:val="16"/>
              </w:rPr>
            </w:pPr>
          </w:p>
          <w:p w:rsidR="007D5782" w:rsidRDefault="007D5782" w:rsidP="002D225C">
            <w:pPr>
              <w:jc w:val="both"/>
              <w:rPr>
                <w:sz w:val="20"/>
                <w:szCs w:val="20"/>
              </w:rPr>
            </w:pPr>
            <w:r>
              <w:rPr>
                <w:sz w:val="20"/>
                <w:szCs w:val="20"/>
              </w:rPr>
              <w:t>Neighbourhood planning: Parish plans should also be acknowledged for where a Parish Council has not the capacity to develop one.</w:t>
            </w:r>
          </w:p>
          <w:p w:rsidR="007D5782" w:rsidRPr="00E17B35" w:rsidRDefault="007D5782" w:rsidP="002D225C">
            <w:pPr>
              <w:jc w:val="both"/>
              <w:rPr>
                <w:sz w:val="16"/>
                <w:szCs w:val="16"/>
              </w:rPr>
            </w:pPr>
          </w:p>
          <w:p w:rsidR="007D5782" w:rsidRDefault="007D5782" w:rsidP="002D225C">
            <w:pPr>
              <w:jc w:val="both"/>
              <w:rPr>
                <w:sz w:val="20"/>
                <w:szCs w:val="20"/>
              </w:rPr>
            </w:pPr>
            <w:r>
              <w:rPr>
                <w:sz w:val="20"/>
                <w:szCs w:val="20"/>
              </w:rPr>
              <w:t>Phasing and delivery: GPC notes that considerably more housing might be required because of JLR at Gaydon: GLH to be a Coventry overspill housing estate</w:t>
            </w:r>
            <w:r w:rsidR="009E22E2">
              <w:rPr>
                <w:sz w:val="20"/>
                <w:szCs w:val="20"/>
              </w:rPr>
              <w:t xml:space="preserve"> as in 5.2.3 as part of MM34</w:t>
            </w:r>
            <w:r>
              <w:rPr>
                <w:sz w:val="20"/>
                <w:szCs w:val="20"/>
              </w:rPr>
              <w:t xml:space="preserve"> </w:t>
            </w:r>
          </w:p>
        </w:tc>
      </w:tr>
      <w:tr w:rsidR="001379EB" w:rsidTr="000804B3">
        <w:tc>
          <w:tcPr>
            <w:tcW w:w="1242" w:type="dxa"/>
          </w:tcPr>
          <w:p w:rsidR="001379EB" w:rsidRDefault="00377E8C">
            <w:pPr>
              <w:rPr>
                <w:sz w:val="20"/>
                <w:szCs w:val="20"/>
              </w:rPr>
            </w:pPr>
            <w:r>
              <w:rPr>
                <w:sz w:val="20"/>
                <w:szCs w:val="20"/>
              </w:rPr>
              <w:t xml:space="preserve">MM34 </w:t>
            </w:r>
          </w:p>
        </w:tc>
        <w:tc>
          <w:tcPr>
            <w:tcW w:w="1134" w:type="dxa"/>
          </w:tcPr>
          <w:p w:rsidR="001379EB" w:rsidRDefault="00377E8C">
            <w:pPr>
              <w:rPr>
                <w:sz w:val="20"/>
                <w:szCs w:val="20"/>
              </w:rPr>
            </w:pPr>
            <w:r>
              <w:rPr>
                <w:sz w:val="20"/>
                <w:szCs w:val="20"/>
              </w:rPr>
              <w:t>CS16 Explanation</w:t>
            </w:r>
          </w:p>
        </w:tc>
        <w:tc>
          <w:tcPr>
            <w:tcW w:w="6866" w:type="dxa"/>
          </w:tcPr>
          <w:p w:rsidR="001379EB" w:rsidRDefault="009E22E2" w:rsidP="002D225C">
            <w:pPr>
              <w:jc w:val="both"/>
              <w:rPr>
                <w:sz w:val="20"/>
                <w:szCs w:val="20"/>
              </w:rPr>
            </w:pPr>
            <w:r>
              <w:rPr>
                <w:sz w:val="20"/>
                <w:szCs w:val="20"/>
              </w:rPr>
              <w:t>GPC questions the capacity of SDC to deliver this?</w:t>
            </w:r>
          </w:p>
          <w:p w:rsidR="009E22E2" w:rsidRPr="00E17B35" w:rsidRDefault="009E22E2" w:rsidP="002D225C">
            <w:pPr>
              <w:jc w:val="both"/>
              <w:rPr>
                <w:sz w:val="16"/>
                <w:szCs w:val="16"/>
              </w:rPr>
            </w:pPr>
          </w:p>
          <w:p w:rsidR="009E22E2" w:rsidRDefault="009E22E2" w:rsidP="002D225C">
            <w:pPr>
              <w:jc w:val="both"/>
              <w:rPr>
                <w:sz w:val="20"/>
                <w:szCs w:val="20"/>
              </w:rPr>
            </w:pPr>
            <w:r>
              <w:rPr>
                <w:sz w:val="20"/>
                <w:szCs w:val="20"/>
              </w:rPr>
              <w:t>5.2.3 – seemingly confirms the overspill assumption.</w:t>
            </w:r>
          </w:p>
          <w:p w:rsidR="009E22E2" w:rsidRPr="00E17B35" w:rsidRDefault="009E22E2" w:rsidP="002D225C">
            <w:pPr>
              <w:jc w:val="both"/>
              <w:rPr>
                <w:sz w:val="16"/>
                <w:szCs w:val="16"/>
              </w:rPr>
            </w:pPr>
          </w:p>
          <w:p w:rsidR="009E22E2" w:rsidRDefault="009E22E2" w:rsidP="002D225C">
            <w:pPr>
              <w:jc w:val="both"/>
              <w:rPr>
                <w:sz w:val="20"/>
                <w:szCs w:val="20"/>
              </w:rPr>
            </w:pPr>
            <w:r>
              <w:rPr>
                <w:sz w:val="20"/>
                <w:szCs w:val="20"/>
              </w:rPr>
              <w:t>5.2.6 – the planning capacity question is again raised without an expansion of expertise in the planning department of SDC. Strain on the planning services will lead to poor planning decisions railroaded by keen developers wanting to deliver raw numbers that will haunt SDC and WCC in the not so many years ahead.</w:t>
            </w:r>
          </w:p>
          <w:p w:rsidR="009E22E2" w:rsidRPr="00E17B35" w:rsidRDefault="009E22E2" w:rsidP="002D225C">
            <w:pPr>
              <w:jc w:val="both"/>
              <w:rPr>
                <w:sz w:val="16"/>
                <w:szCs w:val="16"/>
              </w:rPr>
            </w:pPr>
          </w:p>
          <w:p w:rsidR="009E22E2" w:rsidRDefault="009E22E2" w:rsidP="002D225C">
            <w:pPr>
              <w:jc w:val="both"/>
              <w:rPr>
                <w:sz w:val="20"/>
                <w:szCs w:val="20"/>
              </w:rPr>
            </w:pPr>
            <w:r>
              <w:rPr>
                <w:sz w:val="20"/>
                <w:szCs w:val="20"/>
              </w:rPr>
              <w:t xml:space="preserve">With specific reference to GLH, there is a serious risk of anti-social problems early on in the life of this Core Strategy because of the lack of supporting infrastructure. This cannot be welcomed as it is likely to have an impact on not only existing communities but also a major centre of wealth generation and employment. The impact on continuous traffic disruption over the life time of the core strategy cannot be underestimated. </w:t>
            </w:r>
          </w:p>
          <w:p w:rsidR="009E22E2" w:rsidRPr="00E17B35" w:rsidRDefault="009E22E2" w:rsidP="002D225C">
            <w:pPr>
              <w:jc w:val="both"/>
              <w:rPr>
                <w:sz w:val="16"/>
                <w:szCs w:val="16"/>
              </w:rPr>
            </w:pPr>
          </w:p>
          <w:p w:rsidR="009E22E2" w:rsidRDefault="009E22E2" w:rsidP="002D225C">
            <w:pPr>
              <w:jc w:val="both"/>
              <w:rPr>
                <w:sz w:val="20"/>
                <w:szCs w:val="20"/>
              </w:rPr>
            </w:pPr>
            <w:r>
              <w:rPr>
                <w:sz w:val="20"/>
                <w:szCs w:val="20"/>
              </w:rPr>
              <w:t>5.2.7 – relates to GPC comments on 5.2.6 – there are many unknowns with reference to JLR and AML but ones that will have a major impact on both parts</w:t>
            </w:r>
            <w:r w:rsidR="00B26C31">
              <w:rPr>
                <w:sz w:val="20"/>
                <w:szCs w:val="20"/>
              </w:rPr>
              <w:t>. The total unproven reliance on the capacity of the M40 link road to ensure that there is no impact on JLR. Surely another widening project will be just that – another set of delays for JLR staff with the associated economic impact. Part of AML has already relocated – will JLR do the same?</w:t>
            </w:r>
          </w:p>
        </w:tc>
      </w:tr>
      <w:tr w:rsidR="00377E8C" w:rsidTr="000804B3">
        <w:tc>
          <w:tcPr>
            <w:tcW w:w="1242" w:type="dxa"/>
          </w:tcPr>
          <w:p w:rsidR="00377E8C" w:rsidRDefault="00377E8C">
            <w:pPr>
              <w:rPr>
                <w:sz w:val="20"/>
                <w:szCs w:val="20"/>
              </w:rPr>
            </w:pPr>
            <w:r>
              <w:rPr>
                <w:sz w:val="20"/>
                <w:szCs w:val="20"/>
              </w:rPr>
              <w:t xml:space="preserve">MM35 </w:t>
            </w:r>
          </w:p>
        </w:tc>
        <w:tc>
          <w:tcPr>
            <w:tcW w:w="1134" w:type="dxa"/>
          </w:tcPr>
          <w:p w:rsidR="00377E8C" w:rsidRDefault="003F31AF">
            <w:pPr>
              <w:rPr>
                <w:sz w:val="20"/>
                <w:szCs w:val="20"/>
              </w:rPr>
            </w:pPr>
            <w:r>
              <w:rPr>
                <w:sz w:val="20"/>
                <w:szCs w:val="20"/>
              </w:rPr>
              <w:t>n/a</w:t>
            </w:r>
          </w:p>
        </w:tc>
        <w:tc>
          <w:tcPr>
            <w:tcW w:w="6866" w:type="dxa"/>
          </w:tcPr>
          <w:p w:rsidR="00377E8C" w:rsidRDefault="003F31AF" w:rsidP="002D225C">
            <w:pPr>
              <w:jc w:val="both"/>
              <w:rPr>
                <w:sz w:val="20"/>
                <w:szCs w:val="20"/>
              </w:rPr>
            </w:pPr>
            <w:r>
              <w:rPr>
                <w:sz w:val="20"/>
                <w:szCs w:val="20"/>
              </w:rPr>
              <w:t xml:space="preserve">Seemingly an open commitment to take on housing from outside of the district – this commitment hasn’t been widely publicised or consulted on. This </w:t>
            </w:r>
            <w:r>
              <w:rPr>
                <w:sz w:val="20"/>
                <w:szCs w:val="20"/>
              </w:rPr>
              <w:lastRenderedPageBreak/>
              <w:t>is difficult for GPC to comprehend especially when doesn’t appear to include an adequate level of infrastructure included into this Core Strategy or the SPD/Applications resulting from it.</w:t>
            </w:r>
          </w:p>
          <w:p w:rsidR="003F31AF" w:rsidRPr="00E17B35" w:rsidRDefault="003F31AF" w:rsidP="002D225C">
            <w:pPr>
              <w:jc w:val="both"/>
              <w:rPr>
                <w:sz w:val="16"/>
                <w:szCs w:val="16"/>
              </w:rPr>
            </w:pPr>
          </w:p>
          <w:p w:rsidR="003F31AF" w:rsidRDefault="003F31AF" w:rsidP="002D225C">
            <w:pPr>
              <w:jc w:val="both"/>
              <w:rPr>
                <w:sz w:val="20"/>
                <w:szCs w:val="20"/>
              </w:rPr>
            </w:pPr>
            <w:r>
              <w:rPr>
                <w:sz w:val="20"/>
                <w:szCs w:val="20"/>
              </w:rPr>
              <w:t>There is an acknowledgment that there needs to be a Green Belt study – surely this should be integrated into this document before it is adopted.</w:t>
            </w:r>
          </w:p>
          <w:p w:rsidR="003F31AF" w:rsidRPr="00E17B35" w:rsidRDefault="003F31AF" w:rsidP="002D225C">
            <w:pPr>
              <w:jc w:val="both"/>
              <w:rPr>
                <w:sz w:val="16"/>
                <w:szCs w:val="16"/>
              </w:rPr>
            </w:pPr>
          </w:p>
          <w:p w:rsidR="003F31AF" w:rsidRDefault="003F31AF" w:rsidP="002D225C">
            <w:pPr>
              <w:jc w:val="both"/>
              <w:rPr>
                <w:sz w:val="20"/>
                <w:szCs w:val="20"/>
              </w:rPr>
            </w:pPr>
            <w:r>
              <w:rPr>
                <w:sz w:val="20"/>
                <w:szCs w:val="20"/>
              </w:rPr>
              <w:t>All this is contradictory of MM03.</w:t>
            </w:r>
          </w:p>
        </w:tc>
      </w:tr>
      <w:tr w:rsidR="00377E8C" w:rsidTr="000804B3">
        <w:tc>
          <w:tcPr>
            <w:tcW w:w="1242" w:type="dxa"/>
          </w:tcPr>
          <w:p w:rsidR="00377E8C" w:rsidRDefault="003F31AF">
            <w:pPr>
              <w:rPr>
                <w:sz w:val="20"/>
                <w:szCs w:val="20"/>
              </w:rPr>
            </w:pPr>
            <w:r>
              <w:rPr>
                <w:sz w:val="20"/>
                <w:szCs w:val="20"/>
              </w:rPr>
              <w:lastRenderedPageBreak/>
              <w:t>MM36</w:t>
            </w:r>
          </w:p>
        </w:tc>
        <w:tc>
          <w:tcPr>
            <w:tcW w:w="1134" w:type="dxa"/>
          </w:tcPr>
          <w:p w:rsidR="00377E8C" w:rsidRDefault="003F31AF">
            <w:pPr>
              <w:rPr>
                <w:sz w:val="20"/>
                <w:szCs w:val="20"/>
              </w:rPr>
            </w:pPr>
            <w:r>
              <w:rPr>
                <w:sz w:val="20"/>
                <w:szCs w:val="20"/>
              </w:rPr>
              <w:t>CS17</w:t>
            </w:r>
          </w:p>
        </w:tc>
        <w:tc>
          <w:tcPr>
            <w:tcW w:w="6866" w:type="dxa"/>
          </w:tcPr>
          <w:p w:rsidR="00A917FE" w:rsidRPr="00A917FE" w:rsidRDefault="001337B0" w:rsidP="002D225C">
            <w:pPr>
              <w:pStyle w:val="ListParagraph"/>
              <w:numPr>
                <w:ilvl w:val="0"/>
                <w:numId w:val="2"/>
              </w:numPr>
              <w:jc w:val="both"/>
              <w:rPr>
                <w:sz w:val="20"/>
                <w:szCs w:val="20"/>
              </w:rPr>
            </w:pPr>
            <w:r w:rsidRPr="00A917FE">
              <w:rPr>
                <w:sz w:val="20"/>
                <w:szCs w:val="20"/>
              </w:rPr>
              <w:t>A tendency to support the 35% rule but this could lead to potentially</w:t>
            </w:r>
            <w:r w:rsidR="00A917FE" w:rsidRPr="00A917FE">
              <w:rPr>
                <w:sz w:val="20"/>
                <w:szCs w:val="20"/>
              </w:rPr>
              <w:t xml:space="preserve"> (we note though MM37) to around 1000 housing units for GLH alone.</w:t>
            </w:r>
          </w:p>
          <w:p w:rsidR="00A917FE" w:rsidRPr="00E17B35" w:rsidRDefault="00A917FE" w:rsidP="002D225C">
            <w:pPr>
              <w:jc w:val="both"/>
              <w:rPr>
                <w:sz w:val="16"/>
                <w:szCs w:val="16"/>
              </w:rPr>
            </w:pPr>
            <w:r w:rsidRPr="00A917FE">
              <w:rPr>
                <w:sz w:val="20"/>
                <w:szCs w:val="20"/>
              </w:rPr>
              <w:t xml:space="preserve"> </w:t>
            </w:r>
          </w:p>
          <w:p w:rsidR="00A917FE" w:rsidRDefault="00A917FE" w:rsidP="002D225C">
            <w:pPr>
              <w:jc w:val="both"/>
              <w:rPr>
                <w:sz w:val="20"/>
                <w:szCs w:val="20"/>
              </w:rPr>
            </w:pPr>
            <w:r w:rsidRPr="00A917FE">
              <w:rPr>
                <w:sz w:val="20"/>
                <w:szCs w:val="20"/>
              </w:rPr>
              <w:t>The need for adequate, easily accessible facilities becomes even more pressing with this commitment to social housing on such a large scale without risking anti-social consequences resulting from boredom and isolation.</w:t>
            </w:r>
          </w:p>
          <w:p w:rsidR="00A917FE" w:rsidRPr="00E17B35" w:rsidRDefault="00A917FE" w:rsidP="002D225C">
            <w:pPr>
              <w:jc w:val="both"/>
              <w:rPr>
                <w:sz w:val="16"/>
                <w:szCs w:val="16"/>
              </w:rPr>
            </w:pPr>
          </w:p>
          <w:p w:rsidR="00377E8C" w:rsidRDefault="00A917FE" w:rsidP="002D225C">
            <w:pPr>
              <w:pStyle w:val="ListParagraph"/>
              <w:numPr>
                <w:ilvl w:val="0"/>
                <w:numId w:val="2"/>
              </w:numPr>
              <w:jc w:val="both"/>
              <w:rPr>
                <w:sz w:val="20"/>
                <w:szCs w:val="20"/>
              </w:rPr>
            </w:pPr>
            <w:r w:rsidRPr="00A917FE">
              <w:rPr>
                <w:sz w:val="20"/>
                <w:szCs w:val="20"/>
              </w:rPr>
              <w:t xml:space="preserve">With the less than 11 rule, SDC are effectively signalling that large developments are favoured and that there is a financial barrier to small scale locally driven building. </w:t>
            </w:r>
          </w:p>
          <w:p w:rsidR="00A917FE" w:rsidRDefault="00A917FE" w:rsidP="002D225C">
            <w:pPr>
              <w:pStyle w:val="ListParagraph"/>
              <w:numPr>
                <w:ilvl w:val="0"/>
                <w:numId w:val="2"/>
              </w:numPr>
              <w:jc w:val="both"/>
              <w:rPr>
                <w:sz w:val="20"/>
                <w:szCs w:val="20"/>
              </w:rPr>
            </w:pPr>
            <w:r>
              <w:rPr>
                <w:sz w:val="20"/>
                <w:szCs w:val="20"/>
              </w:rPr>
              <w:t>Support.</w:t>
            </w:r>
          </w:p>
          <w:p w:rsidR="00A917FE" w:rsidRDefault="00A917FE" w:rsidP="002D225C">
            <w:pPr>
              <w:pStyle w:val="ListParagraph"/>
              <w:numPr>
                <w:ilvl w:val="0"/>
                <w:numId w:val="2"/>
              </w:numPr>
              <w:jc w:val="both"/>
              <w:rPr>
                <w:sz w:val="20"/>
                <w:szCs w:val="20"/>
              </w:rPr>
            </w:pPr>
            <w:r>
              <w:rPr>
                <w:sz w:val="20"/>
                <w:szCs w:val="20"/>
              </w:rPr>
              <w:t>Support.</w:t>
            </w:r>
          </w:p>
          <w:p w:rsidR="00A917FE" w:rsidRPr="00A917FE" w:rsidRDefault="00A917FE" w:rsidP="002D225C">
            <w:pPr>
              <w:pStyle w:val="ListParagraph"/>
              <w:numPr>
                <w:ilvl w:val="0"/>
                <w:numId w:val="2"/>
              </w:numPr>
              <w:jc w:val="both"/>
              <w:rPr>
                <w:sz w:val="20"/>
                <w:szCs w:val="20"/>
              </w:rPr>
            </w:pPr>
            <w:r>
              <w:rPr>
                <w:sz w:val="20"/>
                <w:szCs w:val="20"/>
              </w:rPr>
              <w:t>Support.</w:t>
            </w:r>
          </w:p>
        </w:tc>
      </w:tr>
      <w:tr w:rsidR="003F31AF" w:rsidTr="000804B3">
        <w:tc>
          <w:tcPr>
            <w:tcW w:w="1242" w:type="dxa"/>
          </w:tcPr>
          <w:p w:rsidR="003F31AF" w:rsidRDefault="003F31AF">
            <w:pPr>
              <w:rPr>
                <w:sz w:val="20"/>
                <w:szCs w:val="20"/>
              </w:rPr>
            </w:pPr>
            <w:r>
              <w:rPr>
                <w:sz w:val="20"/>
                <w:szCs w:val="20"/>
              </w:rPr>
              <w:t>MM37</w:t>
            </w:r>
          </w:p>
        </w:tc>
        <w:tc>
          <w:tcPr>
            <w:tcW w:w="1134" w:type="dxa"/>
          </w:tcPr>
          <w:p w:rsidR="003F31AF" w:rsidRDefault="003F31AF">
            <w:pPr>
              <w:rPr>
                <w:sz w:val="20"/>
                <w:szCs w:val="20"/>
              </w:rPr>
            </w:pPr>
            <w:r>
              <w:rPr>
                <w:sz w:val="20"/>
                <w:szCs w:val="20"/>
              </w:rPr>
              <w:t>CS17 Explanation.</w:t>
            </w:r>
          </w:p>
        </w:tc>
        <w:tc>
          <w:tcPr>
            <w:tcW w:w="6866" w:type="dxa"/>
          </w:tcPr>
          <w:p w:rsidR="003F31AF" w:rsidRDefault="00A917FE" w:rsidP="002D225C">
            <w:pPr>
              <w:jc w:val="both"/>
              <w:rPr>
                <w:sz w:val="20"/>
                <w:szCs w:val="20"/>
              </w:rPr>
            </w:pPr>
            <w:r>
              <w:rPr>
                <w:sz w:val="20"/>
                <w:szCs w:val="20"/>
              </w:rPr>
              <w:t>5.3.6 Seems to make sense.</w:t>
            </w:r>
          </w:p>
          <w:p w:rsidR="00A917FE" w:rsidRDefault="00A917FE" w:rsidP="002D225C">
            <w:pPr>
              <w:jc w:val="both"/>
              <w:rPr>
                <w:sz w:val="20"/>
                <w:szCs w:val="20"/>
              </w:rPr>
            </w:pPr>
            <w:r>
              <w:rPr>
                <w:sz w:val="20"/>
                <w:szCs w:val="20"/>
              </w:rPr>
              <w:t xml:space="preserve">5.3.8 An acknowledged improvement knowing that there is a significant proportion of social housing already in </w:t>
            </w:r>
            <w:proofErr w:type="spellStart"/>
            <w:r>
              <w:rPr>
                <w:sz w:val="20"/>
                <w:szCs w:val="20"/>
              </w:rPr>
              <w:t>Lighthorne</w:t>
            </w:r>
            <w:proofErr w:type="spellEnd"/>
            <w:r>
              <w:rPr>
                <w:sz w:val="20"/>
                <w:szCs w:val="20"/>
              </w:rPr>
              <w:t xml:space="preserve"> Heath.</w:t>
            </w:r>
          </w:p>
        </w:tc>
      </w:tr>
      <w:tr w:rsidR="003F31AF" w:rsidTr="000804B3">
        <w:tc>
          <w:tcPr>
            <w:tcW w:w="1242" w:type="dxa"/>
          </w:tcPr>
          <w:p w:rsidR="003F31AF" w:rsidRDefault="003F31AF">
            <w:pPr>
              <w:rPr>
                <w:sz w:val="20"/>
                <w:szCs w:val="20"/>
              </w:rPr>
            </w:pPr>
            <w:r>
              <w:rPr>
                <w:sz w:val="20"/>
                <w:szCs w:val="20"/>
              </w:rPr>
              <w:t>MM38</w:t>
            </w:r>
          </w:p>
        </w:tc>
        <w:tc>
          <w:tcPr>
            <w:tcW w:w="1134" w:type="dxa"/>
          </w:tcPr>
          <w:p w:rsidR="003F31AF" w:rsidRDefault="003F31AF">
            <w:pPr>
              <w:rPr>
                <w:sz w:val="20"/>
                <w:szCs w:val="20"/>
              </w:rPr>
            </w:pPr>
            <w:r>
              <w:rPr>
                <w:sz w:val="20"/>
                <w:szCs w:val="20"/>
              </w:rPr>
              <w:t>CS17 DMCs</w:t>
            </w:r>
          </w:p>
        </w:tc>
        <w:tc>
          <w:tcPr>
            <w:tcW w:w="6866" w:type="dxa"/>
          </w:tcPr>
          <w:p w:rsidR="003F31AF" w:rsidRDefault="004D5A34" w:rsidP="002D225C">
            <w:pPr>
              <w:jc w:val="both"/>
              <w:rPr>
                <w:sz w:val="20"/>
                <w:szCs w:val="20"/>
              </w:rPr>
            </w:pPr>
            <w:r>
              <w:rPr>
                <w:sz w:val="20"/>
                <w:szCs w:val="20"/>
              </w:rPr>
              <w:t>No comment.</w:t>
            </w:r>
          </w:p>
        </w:tc>
      </w:tr>
      <w:tr w:rsidR="003F31AF" w:rsidTr="000804B3">
        <w:tc>
          <w:tcPr>
            <w:tcW w:w="1242" w:type="dxa"/>
          </w:tcPr>
          <w:p w:rsidR="003F31AF" w:rsidRDefault="004D5A34">
            <w:pPr>
              <w:rPr>
                <w:sz w:val="20"/>
                <w:szCs w:val="20"/>
              </w:rPr>
            </w:pPr>
            <w:r>
              <w:rPr>
                <w:sz w:val="20"/>
                <w:szCs w:val="20"/>
              </w:rPr>
              <w:t>MM39</w:t>
            </w:r>
          </w:p>
        </w:tc>
        <w:tc>
          <w:tcPr>
            <w:tcW w:w="1134" w:type="dxa"/>
          </w:tcPr>
          <w:p w:rsidR="003F31AF" w:rsidRDefault="004D5A34">
            <w:pPr>
              <w:rPr>
                <w:sz w:val="20"/>
                <w:szCs w:val="20"/>
              </w:rPr>
            </w:pPr>
            <w:r>
              <w:rPr>
                <w:sz w:val="20"/>
                <w:szCs w:val="20"/>
              </w:rPr>
              <w:t>CS18</w:t>
            </w:r>
          </w:p>
        </w:tc>
        <w:tc>
          <w:tcPr>
            <w:tcW w:w="6866" w:type="dxa"/>
          </w:tcPr>
          <w:p w:rsidR="003F31AF" w:rsidRDefault="004D5A34" w:rsidP="002D225C">
            <w:pPr>
              <w:jc w:val="both"/>
              <w:rPr>
                <w:sz w:val="20"/>
                <w:szCs w:val="20"/>
              </w:rPr>
            </w:pPr>
            <w:r>
              <w:rPr>
                <w:sz w:val="20"/>
                <w:szCs w:val="20"/>
              </w:rPr>
              <w:t xml:space="preserve">Generally support but with </w:t>
            </w:r>
            <w:r w:rsidR="00E77FD8">
              <w:rPr>
                <w:sz w:val="20"/>
                <w:szCs w:val="20"/>
              </w:rPr>
              <w:t>a shortage of bungalows, it is surprising that this is not acknowledged if this is to meet the needs of a wider community.</w:t>
            </w:r>
          </w:p>
        </w:tc>
      </w:tr>
      <w:tr w:rsidR="004D5A34" w:rsidTr="000804B3">
        <w:tc>
          <w:tcPr>
            <w:tcW w:w="1242" w:type="dxa"/>
          </w:tcPr>
          <w:p w:rsidR="004D5A34" w:rsidRDefault="00E77FD8">
            <w:pPr>
              <w:rPr>
                <w:sz w:val="20"/>
                <w:szCs w:val="20"/>
              </w:rPr>
            </w:pPr>
            <w:r>
              <w:rPr>
                <w:sz w:val="20"/>
                <w:szCs w:val="20"/>
              </w:rPr>
              <w:t>MM40</w:t>
            </w:r>
          </w:p>
        </w:tc>
        <w:tc>
          <w:tcPr>
            <w:tcW w:w="1134" w:type="dxa"/>
          </w:tcPr>
          <w:p w:rsidR="004D5A34" w:rsidRDefault="0017037A">
            <w:pPr>
              <w:rPr>
                <w:sz w:val="20"/>
                <w:szCs w:val="20"/>
              </w:rPr>
            </w:pPr>
            <w:r>
              <w:rPr>
                <w:sz w:val="20"/>
                <w:szCs w:val="20"/>
              </w:rPr>
              <w:t>CS18 Explanation.</w:t>
            </w:r>
          </w:p>
        </w:tc>
        <w:tc>
          <w:tcPr>
            <w:tcW w:w="6866" w:type="dxa"/>
          </w:tcPr>
          <w:p w:rsidR="004D5A34" w:rsidRDefault="0017037A" w:rsidP="002D225C">
            <w:pPr>
              <w:jc w:val="both"/>
              <w:rPr>
                <w:sz w:val="20"/>
                <w:szCs w:val="20"/>
              </w:rPr>
            </w:pPr>
            <w:r>
              <w:rPr>
                <w:sz w:val="20"/>
                <w:szCs w:val="20"/>
              </w:rPr>
              <w:t>How much is the SHMA locally informed? Surely SDC has a duty to prioritise locally driven requirements</w:t>
            </w:r>
            <w:r w:rsidR="00473162">
              <w:rPr>
                <w:sz w:val="20"/>
                <w:szCs w:val="20"/>
              </w:rPr>
              <w:t>.</w:t>
            </w:r>
          </w:p>
          <w:p w:rsidR="00473162" w:rsidRPr="00E17B35" w:rsidRDefault="00473162" w:rsidP="002D225C">
            <w:pPr>
              <w:jc w:val="both"/>
              <w:rPr>
                <w:sz w:val="16"/>
                <w:szCs w:val="16"/>
              </w:rPr>
            </w:pPr>
          </w:p>
          <w:p w:rsidR="00473162" w:rsidRDefault="00473162" w:rsidP="002D225C">
            <w:pPr>
              <w:jc w:val="both"/>
              <w:rPr>
                <w:sz w:val="20"/>
                <w:szCs w:val="20"/>
              </w:rPr>
            </w:pPr>
            <w:r>
              <w:rPr>
                <w:sz w:val="20"/>
                <w:szCs w:val="20"/>
              </w:rPr>
              <w:t xml:space="preserve">5.4.4 – </w:t>
            </w:r>
            <w:proofErr w:type="gramStart"/>
            <w:r>
              <w:rPr>
                <w:sz w:val="20"/>
                <w:szCs w:val="20"/>
              </w:rPr>
              <w:t>a useful guide but refer</w:t>
            </w:r>
            <w:proofErr w:type="gramEnd"/>
            <w:r>
              <w:rPr>
                <w:sz w:val="20"/>
                <w:szCs w:val="20"/>
              </w:rPr>
              <w:t xml:space="preserve"> to previous comment.</w:t>
            </w:r>
          </w:p>
        </w:tc>
      </w:tr>
      <w:tr w:rsidR="003F31AF" w:rsidTr="000804B3">
        <w:tc>
          <w:tcPr>
            <w:tcW w:w="1242" w:type="dxa"/>
          </w:tcPr>
          <w:p w:rsidR="003F31AF" w:rsidRDefault="00473162">
            <w:pPr>
              <w:rPr>
                <w:sz w:val="20"/>
                <w:szCs w:val="20"/>
              </w:rPr>
            </w:pPr>
            <w:r>
              <w:rPr>
                <w:sz w:val="20"/>
                <w:szCs w:val="20"/>
              </w:rPr>
              <w:t>MM41</w:t>
            </w:r>
          </w:p>
        </w:tc>
        <w:tc>
          <w:tcPr>
            <w:tcW w:w="1134" w:type="dxa"/>
          </w:tcPr>
          <w:p w:rsidR="003F31AF" w:rsidRDefault="00473162">
            <w:pPr>
              <w:rPr>
                <w:sz w:val="20"/>
                <w:szCs w:val="20"/>
              </w:rPr>
            </w:pPr>
            <w:r>
              <w:rPr>
                <w:sz w:val="20"/>
                <w:szCs w:val="20"/>
              </w:rPr>
              <w:t>CS18 DMCs</w:t>
            </w:r>
          </w:p>
        </w:tc>
        <w:tc>
          <w:tcPr>
            <w:tcW w:w="6866" w:type="dxa"/>
          </w:tcPr>
          <w:p w:rsidR="003F31AF" w:rsidRDefault="00473162" w:rsidP="002D225C">
            <w:pPr>
              <w:jc w:val="both"/>
              <w:rPr>
                <w:sz w:val="20"/>
                <w:szCs w:val="20"/>
              </w:rPr>
            </w:pPr>
            <w:r>
              <w:rPr>
                <w:sz w:val="20"/>
                <w:szCs w:val="20"/>
              </w:rPr>
              <w:t>No comment.</w:t>
            </w:r>
          </w:p>
        </w:tc>
      </w:tr>
      <w:tr w:rsidR="003F31AF" w:rsidTr="000804B3">
        <w:tc>
          <w:tcPr>
            <w:tcW w:w="1242" w:type="dxa"/>
          </w:tcPr>
          <w:p w:rsidR="003F31AF" w:rsidRDefault="00473162">
            <w:pPr>
              <w:rPr>
                <w:sz w:val="20"/>
                <w:szCs w:val="20"/>
              </w:rPr>
            </w:pPr>
            <w:r>
              <w:rPr>
                <w:sz w:val="20"/>
                <w:szCs w:val="20"/>
              </w:rPr>
              <w:t>MM42</w:t>
            </w:r>
          </w:p>
        </w:tc>
        <w:tc>
          <w:tcPr>
            <w:tcW w:w="1134" w:type="dxa"/>
          </w:tcPr>
          <w:p w:rsidR="003F31AF" w:rsidRDefault="00473162">
            <w:pPr>
              <w:rPr>
                <w:sz w:val="20"/>
                <w:szCs w:val="20"/>
              </w:rPr>
            </w:pPr>
            <w:r>
              <w:rPr>
                <w:sz w:val="20"/>
                <w:szCs w:val="20"/>
              </w:rPr>
              <w:t>CS19</w:t>
            </w:r>
          </w:p>
        </w:tc>
        <w:tc>
          <w:tcPr>
            <w:tcW w:w="6866" w:type="dxa"/>
          </w:tcPr>
          <w:p w:rsidR="003F31AF" w:rsidRDefault="00473162" w:rsidP="002D225C">
            <w:pPr>
              <w:jc w:val="both"/>
              <w:rPr>
                <w:sz w:val="20"/>
                <w:szCs w:val="20"/>
              </w:rPr>
            </w:pPr>
            <w:r>
              <w:rPr>
                <w:sz w:val="20"/>
                <w:szCs w:val="20"/>
              </w:rPr>
              <w:t>Previous comments relating to the included word of safe apply.</w:t>
            </w:r>
          </w:p>
        </w:tc>
      </w:tr>
      <w:tr w:rsidR="00473162" w:rsidTr="000804B3">
        <w:tc>
          <w:tcPr>
            <w:tcW w:w="1242" w:type="dxa"/>
          </w:tcPr>
          <w:p w:rsidR="00473162" w:rsidRDefault="00473162">
            <w:pPr>
              <w:rPr>
                <w:sz w:val="20"/>
                <w:szCs w:val="20"/>
              </w:rPr>
            </w:pPr>
            <w:r>
              <w:rPr>
                <w:sz w:val="20"/>
                <w:szCs w:val="20"/>
              </w:rPr>
              <w:t>MM43</w:t>
            </w:r>
          </w:p>
        </w:tc>
        <w:tc>
          <w:tcPr>
            <w:tcW w:w="1134" w:type="dxa"/>
          </w:tcPr>
          <w:p w:rsidR="00473162" w:rsidRDefault="00473162">
            <w:pPr>
              <w:rPr>
                <w:sz w:val="20"/>
                <w:szCs w:val="20"/>
              </w:rPr>
            </w:pPr>
            <w:r>
              <w:rPr>
                <w:sz w:val="20"/>
                <w:szCs w:val="20"/>
              </w:rPr>
              <w:t>CS20</w:t>
            </w:r>
          </w:p>
        </w:tc>
        <w:tc>
          <w:tcPr>
            <w:tcW w:w="6866" w:type="dxa"/>
          </w:tcPr>
          <w:p w:rsidR="00473162" w:rsidRDefault="00473162" w:rsidP="00551808">
            <w:pPr>
              <w:jc w:val="both"/>
              <w:rPr>
                <w:sz w:val="20"/>
                <w:szCs w:val="20"/>
              </w:rPr>
            </w:pPr>
            <w:r>
              <w:rPr>
                <w:sz w:val="20"/>
                <w:szCs w:val="20"/>
              </w:rPr>
              <w:t>d) Support.</w:t>
            </w:r>
          </w:p>
          <w:p w:rsidR="00473162" w:rsidRDefault="00473162" w:rsidP="00551808">
            <w:pPr>
              <w:jc w:val="both"/>
              <w:rPr>
                <w:sz w:val="20"/>
                <w:szCs w:val="20"/>
              </w:rPr>
            </w:pPr>
            <w:r>
              <w:rPr>
                <w:sz w:val="20"/>
                <w:szCs w:val="20"/>
              </w:rPr>
              <w:t>g) Support especially with ref to the use of the private car.</w:t>
            </w:r>
          </w:p>
          <w:p w:rsidR="00473162" w:rsidRDefault="00473162" w:rsidP="00551808">
            <w:pPr>
              <w:jc w:val="both"/>
              <w:rPr>
                <w:sz w:val="20"/>
                <w:szCs w:val="20"/>
              </w:rPr>
            </w:pPr>
            <w:proofErr w:type="spellStart"/>
            <w:r>
              <w:rPr>
                <w:sz w:val="20"/>
                <w:szCs w:val="20"/>
              </w:rPr>
              <w:t>i</w:t>
            </w:r>
            <w:proofErr w:type="spellEnd"/>
            <w:r>
              <w:rPr>
                <w:sz w:val="20"/>
                <w:szCs w:val="20"/>
              </w:rPr>
              <w:t>) Support.</w:t>
            </w:r>
          </w:p>
        </w:tc>
      </w:tr>
      <w:tr w:rsidR="00473162" w:rsidTr="000804B3">
        <w:tc>
          <w:tcPr>
            <w:tcW w:w="1242" w:type="dxa"/>
          </w:tcPr>
          <w:p w:rsidR="00473162" w:rsidRDefault="00473162">
            <w:pPr>
              <w:rPr>
                <w:sz w:val="20"/>
                <w:szCs w:val="20"/>
              </w:rPr>
            </w:pPr>
            <w:r>
              <w:rPr>
                <w:sz w:val="20"/>
                <w:szCs w:val="20"/>
              </w:rPr>
              <w:t>MM44</w:t>
            </w:r>
          </w:p>
        </w:tc>
        <w:tc>
          <w:tcPr>
            <w:tcW w:w="1134" w:type="dxa"/>
          </w:tcPr>
          <w:p w:rsidR="00473162" w:rsidRDefault="00473162">
            <w:pPr>
              <w:rPr>
                <w:sz w:val="20"/>
                <w:szCs w:val="20"/>
              </w:rPr>
            </w:pPr>
            <w:r>
              <w:rPr>
                <w:sz w:val="20"/>
                <w:szCs w:val="20"/>
              </w:rPr>
              <w:t>CS20 Explanation.</w:t>
            </w:r>
          </w:p>
        </w:tc>
        <w:tc>
          <w:tcPr>
            <w:tcW w:w="6866" w:type="dxa"/>
          </w:tcPr>
          <w:p w:rsidR="00473162" w:rsidRDefault="00473162" w:rsidP="00551808">
            <w:pPr>
              <w:jc w:val="both"/>
              <w:rPr>
                <w:sz w:val="20"/>
                <w:szCs w:val="20"/>
              </w:rPr>
            </w:pPr>
            <w:r>
              <w:rPr>
                <w:sz w:val="20"/>
                <w:szCs w:val="20"/>
              </w:rPr>
              <w:t>Generally support but noted that the temporary site near Southam is adjacent to proposed development.</w:t>
            </w:r>
          </w:p>
        </w:tc>
      </w:tr>
      <w:tr w:rsidR="00473162" w:rsidTr="000804B3">
        <w:tc>
          <w:tcPr>
            <w:tcW w:w="1242" w:type="dxa"/>
          </w:tcPr>
          <w:p w:rsidR="00473162" w:rsidRDefault="00473162">
            <w:pPr>
              <w:rPr>
                <w:sz w:val="20"/>
                <w:szCs w:val="20"/>
              </w:rPr>
            </w:pPr>
            <w:r>
              <w:rPr>
                <w:sz w:val="20"/>
                <w:szCs w:val="20"/>
              </w:rPr>
              <w:t>MM46</w:t>
            </w:r>
          </w:p>
        </w:tc>
        <w:tc>
          <w:tcPr>
            <w:tcW w:w="1134" w:type="dxa"/>
          </w:tcPr>
          <w:p w:rsidR="00473162" w:rsidRDefault="00473162">
            <w:pPr>
              <w:rPr>
                <w:sz w:val="20"/>
                <w:szCs w:val="20"/>
              </w:rPr>
            </w:pPr>
            <w:r>
              <w:rPr>
                <w:sz w:val="20"/>
                <w:szCs w:val="20"/>
              </w:rPr>
              <w:t>CS21</w:t>
            </w:r>
          </w:p>
        </w:tc>
        <w:tc>
          <w:tcPr>
            <w:tcW w:w="6866" w:type="dxa"/>
          </w:tcPr>
          <w:p w:rsidR="00473162" w:rsidRDefault="002D225C" w:rsidP="00551808">
            <w:pPr>
              <w:jc w:val="both"/>
              <w:rPr>
                <w:sz w:val="20"/>
                <w:szCs w:val="20"/>
              </w:rPr>
            </w:pPr>
            <w:r>
              <w:rPr>
                <w:sz w:val="20"/>
                <w:szCs w:val="20"/>
              </w:rPr>
              <w:t>I</w:t>
            </w:r>
            <w:r w:rsidR="00473162">
              <w:rPr>
                <w:sz w:val="20"/>
                <w:szCs w:val="20"/>
              </w:rPr>
              <w:t>f this is adopted, it should guide development of land south of Gaydon.</w:t>
            </w:r>
          </w:p>
        </w:tc>
      </w:tr>
      <w:tr w:rsidR="00473162" w:rsidTr="000804B3">
        <w:tc>
          <w:tcPr>
            <w:tcW w:w="1242" w:type="dxa"/>
          </w:tcPr>
          <w:p w:rsidR="00473162" w:rsidRDefault="00D210F4">
            <w:pPr>
              <w:rPr>
                <w:sz w:val="20"/>
                <w:szCs w:val="20"/>
              </w:rPr>
            </w:pPr>
            <w:r>
              <w:rPr>
                <w:sz w:val="20"/>
                <w:szCs w:val="20"/>
              </w:rPr>
              <w:t>MM47</w:t>
            </w:r>
          </w:p>
        </w:tc>
        <w:tc>
          <w:tcPr>
            <w:tcW w:w="1134" w:type="dxa"/>
          </w:tcPr>
          <w:p w:rsidR="00473162" w:rsidRDefault="00D210F4">
            <w:pPr>
              <w:rPr>
                <w:sz w:val="20"/>
                <w:szCs w:val="20"/>
              </w:rPr>
            </w:pPr>
            <w:r>
              <w:rPr>
                <w:sz w:val="20"/>
                <w:szCs w:val="20"/>
              </w:rPr>
              <w:t>CS21 Explanation.</w:t>
            </w:r>
          </w:p>
        </w:tc>
        <w:tc>
          <w:tcPr>
            <w:tcW w:w="6866" w:type="dxa"/>
          </w:tcPr>
          <w:p w:rsidR="00473162" w:rsidRDefault="00D210F4" w:rsidP="00551808">
            <w:pPr>
              <w:jc w:val="both"/>
              <w:rPr>
                <w:sz w:val="20"/>
                <w:szCs w:val="20"/>
              </w:rPr>
            </w:pPr>
            <w:r>
              <w:rPr>
                <w:sz w:val="20"/>
                <w:szCs w:val="20"/>
              </w:rPr>
              <w:t>Reflects the work and nature of employment generated by JLR. Building houses will not solve this as so many employees have to access other JLR sites in the region on a regular basis.</w:t>
            </w:r>
          </w:p>
          <w:p w:rsidR="00D210F4" w:rsidRPr="00E17B35" w:rsidRDefault="00D210F4" w:rsidP="00551808">
            <w:pPr>
              <w:jc w:val="both"/>
              <w:rPr>
                <w:sz w:val="16"/>
                <w:szCs w:val="16"/>
              </w:rPr>
            </w:pPr>
          </w:p>
          <w:p w:rsidR="00D210F4" w:rsidRDefault="00D210F4" w:rsidP="00551808">
            <w:pPr>
              <w:jc w:val="both"/>
              <w:rPr>
                <w:sz w:val="20"/>
                <w:szCs w:val="20"/>
              </w:rPr>
            </w:pPr>
            <w:r>
              <w:rPr>
                <w:sz w:val="20"/>
                <w:szCs w:val="20"/>
              </w:rPr>
              <w:t xml:space="preserve">5.7.20 So </w:t>
            </w:r>
            <w:proofErr w:type="gramStart"/>
            <w:r>
              <w:rPr>
                <w:sz w:val="20"/>
                <w:szCs w:val="20"/>
              </w:rPr>
              <w:t>much being</w:t>
            </w:r>
            <w:proofErr w:type="gramEnd"/>
            <w:r>
              <w:rPr>
                <w:sz w:val="20"/>
                <w:szCs w:val="20"/>
              </w:rPr>
              <w:t xml:space="preserve"> placed on uncertainty. In terms of infrastructure, the CS and resulting SPDs should plan for the worst case scenarios.</w:t>
            </w:r>
          </w:p>
        </w:tc>
      </w:tr>
      <w:tr w:rsidR="00D210F4" w:rsidTr="000804B3">
        <w:tc>
          <w:tcPr>
            <w:tcW w:w="1242" w:type="dxa"/>
          </w:tcPr>
          <w:p w:rsidR="00D210F4" w:rsidRDefault="00D210F4">
            <w:pPr>
              <w:rPr>
                <w:sz w:val="20"/>
                <w:szCs w:val="20"/>
              </w:rPr>
            </w:pPr>
            <w:r>
              <w:rPr>
                <w:sz w:val="20"/>
                <w:szCs w:val="20"/>
              </w:rPr>
              <w:t>MM48</w:t>
            </w:r>
          </w:p>
        </w:tc>
        <w:tc>
          <w:tcPr>
            <w:tcW w:w="1134" w:type="dxa"/>
          </w:tcPr>
          <w:p w:rsidR="00D210F4" w:rsidRDefault="00D210F4">
            <w:pPr>
              <w:rPr>
                <w:sz w:val="20"/>
                <w:szCs w:val="20"/>
              </w:rPr>
            </w:pPr>
            <w:r>
              <w:rPr>
                <w:sz w:val="20"/>
                <w:szCs w:val="20"/>
              </w:rPr>
              <w:t>CS22</w:t>
            </w:r>
          </w:p>
        </w:tc>
        <w:tc>
          <w:tcPr>
            <w:tcW w:w="6866" w:type="dxa"/>
          </w:tcPr>
          <w:p w:rsidR="00D210F4" w:rsidRDefault="00D210F4" w:rsidP="00E17B35">
            <w:pPr>
              <w:jc w:val="both"/>
              <w:rPr>
                <w:sz w:val="20"/>
                <w:szCs w:val="20"/>
              </w:rPr>
            </w:pPr>
            <w:r>
              <w:rPr>
                <w:sz w:val="20"/>
                <w:szCs w:val="20"/>
              </w:rPr>
              <w:t>‘</w:t>
            </w:r>
            <w:proofErr w:type="gramStart"/>
            <w:r>
              <w:rPr>
                <w:sz w:val="20"/>
                <w:szCs w:val="20"/>
              </w:rPr>
              <w:t>will</w:t>
            </w:r>
            <w:proofErr w:type="gramEnd"/>
            <w:r>
              <w:rPr>
                <w:sz w:val="20"/>
                <w:szCs w:val="20"/>
              </w:rPr>
              <w:t>’ has been watered down to ‘should’ – perfect for the developer who wants to do it on the cheap.</w:t>
            </w:r>
          </w:p>
        </w:tc>
      </w:tr>
      <w:tr w:rsidR="00D210F4" w:rsidTr="000804B3">
        <w:tc>
          <w:tcPr>
            <w:tcW w:w="1242" w:type="dxa"/>
          </w:tcPr>
          <w:p w:rsidR="00D210F4" w:rsidRDefault="00D210F4">
            <w:pPr>
              <w:rPr>
                <w:sz w:val="20"/>
                <w:szCs w:val="20"/>
              </w:rPr>
            </w:pPr>
            <w:r>
              <w:rPr>
                <w:sz w:val="20"/>
                <w:szCs w:val="20"/>
              </w:rPr>
              <w:t>MM49</w:t>
            </w:r>
          </w:p>
        </w:tc>
        <w:tc>
          <w:tcPr>
            <w:tcW w:w="1134" w:type="dxa"/>
          </w:tcPr>
          <w:p w:rsidR="00D210F4" w:rsidRDefault="00D210F4">
            <w:pPr>
              <w:rPr>
                <w:sz w:val="20"/>
                <w:szCs w:val="20"/>
              </w:rPr>
            </w:pPr>
            <w:r>
              <w:rPr>
                <w:sz w:val="20"/>
                <w:szCs w:val="20"/>
              </w:rPr>
              <w:t>CS22 Explanation.</w:t>
            </w:r>
          </w:p>
        </w:tc>
        <w:tc>
          <w:tcPr>
            <w:tcW w:w="6866" w:type="dxa"/>
          </w:tcPr>
          <w:p w:rsidR="00D210F4" w:rsidRDefault="00D210F4" w:rsidP="00E17B35">
            <w:pPr>
              <w:jc w:val="both"/>
              <w:rPr>
                <w:sz w:val="20"/>
                <w:szCs w:val="20"/>
              </w:rPr>
            </w:pPr>
            <w:r>
              <w:rPr>
                <w:sz w:val="20"/>
                <w:szCs w:val="20"/>
              </w:rPr>
              <w:t>GPC supports this traditional model but emphasis needs to be placed on generous facilities in the new settlements with ease of access and parking.</w:t>
            </w:r>
          </w:p>
          <w:p w:rsidR="00D210F4" w:rsidRPr="00E17B35" w:rsidRDefault="00D210F4" w:rsidP="00E17B35">
            <w:pPr>
              <w:jc w:val="both"/>
              <w:rPr>
                <w:sz w:val="16"/>
                <w:szCs w:val="16"/>
              </w:rPr>
            </w:pPr>
          </w:p>
          <w:p w:rsidR="00D210F4" w:rsidRDefault="00D210F4" w:rsidP="00E17B35">
            <w:pPr>
              <w:jc w:val="both"/>
              <w:rPr>
                <w:sz w:val="20"/>
                <w:szCs w:val="20"/>
              </w:rPr>
            </w:pPr>
            <w:r>
              <w:rPr>
                <w:sz w:val="20"/>
                <w:szCs w:val="20"/>
              </w:rPr>
              <w:t>5.8.12 The comparison with Alcester in terms of size of population is clearly not matched in terms of planned facilities and infrastructure. This is damning and needs addressing if these new settlements are to be regarded and assets to the region because of their sustainability:</w:t>
            </w:r>
          </w:p>
          <w:p w:rsidR="00D210F4" w:rsidRDefault="00D210F4" w:rsidP="00E17B35">
            <w:pPr>
              <w:pStyle w:val="ListParagraph"/>
              <w:numPr>
                <w:ilvl w:val="0"/>
                <w:numId w:val="3"/>
              </w:numPr>
              <w:jc w:val="both"/>
              <w:rPr>
                <w:sz w:val="20"/>
                <w:szCs w:val="20"/>
              </w:rPr>
            </w:pPr>
            <w:r>
              <w:rPr>
                <w:sz w:val="20"/>
                <w:szCs w:val="20"/>
              </w:rPr>
              <w:t>Where is the comparative education provision?</w:t>
            </w:r>
          </w:p>
          <w:p w:rsidR="00D210F4" w:rsidRDefault="00D210F4" w:rsidP="00E17B35">
            <w:pPr>
              <w:pStyle w:val="ListParagraph"/>
              <w:numPr>
                <w:ilvl w:val="0"/>
                <w:numId w:val="3"/>
              </w:numPr>
              <w:jc w:val="both"/>
              <w:rPr>
                <w:sz w:val="20"/>
                <w:szCs w:val="20"/>
              </w:rPr>
            </w:pPr>
            <w:r>
              <w:rPr>
                <w:sz w:val="20"/>
                <w:szCs w:val="20"/>
              </w:rPr>
              <w:t xml:space="preserve">Where is the breadth of retail to break the reliance on the private </w:t>
            </w:r>
            <w:r>
              <w:rPr>
                <w:sz w:val="20"/>
                <w:szCs w:val="20"/>
              </w:rPr>
              <w:lastRenderedPageBreak/>
              <w:t>car?</w:t>
            </w:r>
          </w:p>
          <w:p w:rsidR="00D210F4" w:rsidRDefault="00D210F4" w:rsidP="00E17B35">
            <w:pPr>
              <w:pStyle w:val="ListParagraph"/>
              <w:numPr>
                <w:ilvl w:val="0"/>
                <w:numId w:val="3"/>
              </w:numPr>
              <w:jc w:val="both"/>
              <w:rPr>
                <w:sz w:val="20"/>
                <w:szCs w:val="20"/>
              </w:rPr>
            </w:pPr>
            <w:r>
              <w:rPr>
                <w:sz w:val="20"/>
                <w:szCs w:val="20"/>
              </w:rPr>
              <w:t xml:space="preserve">Where are the leisure facilities to </w:t>
            </w:r>
            <w:r w:rsidR="00093E0C">
              <w:rPr>
                <w:sz w:val="20"/>
                <w:szCs w:val="20"/>
              </w:rPr>
              <w:t>create that safe environment where the risks of anti-social behaviour are minimised?</w:t>
            </w:r>
          </w:p>
          <w:p w:rsidR="00093E0C" w:rsidRDefault="00093E0C" w:rsidP="00E17B35">
            <w:pPr>
              <w:pStyle w:val="ListParagraph"/>
              <w:numPr>
                <w:ilvl w:val="0"/>
                <w:numId w:val="3"/>
              </w:numPr>
              <w:jc w:val="both"/>
              <w:rPr>
                <w:sz w:val="20"/>
                <w:szCs w:val="20"/>
              </w:rPr>
            </w:pPr>
            <w:r>
              <w:rPr>
                <w:sz w:val="20"/>
                <w:szCs w:val="20"/>
              </w:rPr>
              <w:t>Where is the commitment to health provision for sustainability?</w:t>
            </w:r>
          </w:p>
          <w:p w:rsidR="00093E0C" w:rsidRDefault="00093E0C" w:rsidP="00E17B35">
            <w:pPr>
              <w:pStyle w:val="ListParagraph"/>
              <w:numPr>
                <w:ilvl w:val="0"/>
                <w:numId w:val="3"/>
              </w:numPr>
              <w:jc w:val="both"/>
              <w:rPr>
                <w:sz w:val="20"/>
                <w:szCs w:val="20"/>
              </w:rPr>
            </w:pPr>
            <w:r>
              <w:rPr>
                <w:sz w:val="20"/>
                <w:szCs w:val="20"/>
              </w:rPr>
              <w:t>Where is the community focus infrastructure that you would expect in a settlement of a similar size?</w:t>
            </w:r>
          </w:p>
          <w:p w:rsidR="00093E0C" w:rsidRPr="00093E0C" w:rsidRDefault="00093E0C" w:rsidP="00E17B35">
            <w:pPr>
              <w:pStyle w:val="ListParagraph"/>
              <w:numPr>
                <w:ilvl w:val="0"/>
                <w:numId w:val="3"/>
              </w:numPr>
              <w:jc w:val="both"/>
              <w:rPr>
                <w:sz w:val="20"/>
                <w:szCs w:val="20"/>
              </w:rPr>
            </w:pPr>
            <w:r w:rsidRPr="00093E0C">
              <w:rPr>
                <w:sz w:val="20"/>
                <w:szCs w:val="20"/>
              </w:rPr>
              <w:t>What is there in this strategy tha</w:t>
            </w:r>
            <w:r>
              <w:rPr>
                <w:sz w:val="20"/>
                <w:szCs w:val="20"/>
              </w:rPr>
              <w:t>t draws existing communities in? – there is little acknowledgement of this.</w:t>
            </w:r>
          </w:p>
        </w:tc>
      </w:tr>
      <w:tr w:rsidR="00D210F4" w:rsidTr="000804B3">
        <w:tc>
          <w:tcPr>
            <w:tcW w:w="1242" w:type="dxa"/>
          </w:tcPr>
          <w:p w:rsidR="00D210F4" w:rsidRDefault="00F044EF">
            <w:pPr>
              <w:rPr>
                <w:sz w:val="20"/>
                <w:szCs w:val="20"/>
              </w:rPr>
            </w:pPr>
            <w:r>
              <w:rPr>
                <w:sz w:val="20"/>
                <w:szCs w:val="20"/>
              </w:rPr>
              <w:lastRenderedPageBreak/>
              <w:t>MM50</w:t>
            </w:r>
          </w:p>
        </w:tc>
        <w:tc>
          <w:tcPr>
            <w:tcW w:w="1134" w:type="dxa"/>
          </w:tcPr>
          <w:p w:rsidR="00D210F4" w:rsidRDefault="00F044EF">
            <w:pPr>
              <w:rPr>
                <w:sz w:val="20"/>
                <w:szCs w:val="20"/>
              </w:rPr>
            </w:pPr>
            <w:r>
              <w:rPr>
                <w:sz w:val="20"/>
                <w:szCs w:val="20"/>
              </w:rPr>
              <w:t>CS22DMCs</w:t>
            </w:r>
          </w:p>
        </w:tc>
        <w:tc>
          <w:tcPr>
            <w:tcW w:w="6866" w:type="dxa"/>
          </w:tcPr>
          <w:p w:rsidR="00D210F4" w:rsidRDefault="00EE59C5" w:rsidP="00E17B35">
            <w:pPr>
              <w:jc w:val="both"/>
              <w:rPr>
                <w:sz w:val="20"/>
                <w:szCs w:val="20"/>
              </w:rPr>
            </w:pPr>
            <w:r>
              <w:rPr>
                <w:sz w:val="20"/>
                <w:szCs w:val="20"/>
              </w:rPr>
              <w:t xml:space="preserve">If GPC understands this correctly, this means that there is less retail provision than the NPPF guidelines – this to be enshrined into this CS. If this is the case, it is totally unacceptable if a new settlement is to be sustainable and not generate traffic to larger centres. This is especially critical in the case of GLH when the relative isolation </w:t>
            </w:r>
            <w:r w:rsidR="00CB1A59">
              <w:rPr>
                <w:sz w:val="20"/>
                <w:szCs w:val="20"/>
              </w:rPr>
              <w:t>of the site is considered and lack of proximity to larger centres is taken into account.</w:t>
            </w:r>
          </w:p>
        </w:tc>
      </w:tr>
      <w:tr w:rsidR="00F044EF" w:rsidTr="000804B3">
        <w:tc>
          <w:tcPr>
            <w:tcW w:w="1242" w:type="dxa"/>
          </w:tcPr>
          <w:p w:rsidR="00F044EF" w:rsidRDefault="00F044EF">
            <w:pPr>
              <w:rPr>
                <w:sz w:val="20"/>
                <w:szCs w:val="20"/>
              </w:rPr>
            </w:pPr>
            <w:r>
              <w:rPr>
                <w:sz w:val="20"/>
                <w:szCs w:val="20"/>
              </w:rPr>
              <w:t>MM51</w:t>
            </w:r>
          </w:p>
        </w:tc>
        <w:tc>
          <w:tcPr>
            <w:tcW w:w="1134" w:type="dxa"/>
          </w:tcPr>
          <w:p w:rsidR="00F044EF" w:rsidRDefault="00F044EF">
            <w:pPr>
              <w:rPr>
                <w:sz w:val="20"/>
                <w:szCs w:val="20"/>
              </w:rPr>
            </w:pPr>
            <w:r>
              <w:rPr>
                <w:sz w:val="20"/>
                <w:szCs w:val="20"/>
              </w:rPr>
              <w:t>CS23</w:t>
            </w:r>
          </w:p>
        </w:tc>
        <w:tc>
          <w:tcPr>
            <w:tcW w:w="6866" w:type="dxa"/>
          </w:tcPr>
          <w:p w:rsidR="00F044EF" w:rsidRDefault="00F044EF" w:rsidP="00E17B35">
            <w:pPr>
              <w:jc w:val="both"/>
              <w:rPr>
                <w:sz w:val="20"/>
                <w:szCs w:val="20"/>
              </w:rPr>
            </w:pPr>
            <w:r>
              <w:rPr>
                <w:sz w:val="20"/>
                <w:szCs w:val="20"/>
              </w:rPr>
              <w:t>No Comment.</w:t>
            </w:r>
          </w:p>
        </w:tc>
      </w:tr>
      <w:tr w:rsidR="00F044EF" w:rsidTr="000804B3">
        <w:tc>
          <w:tcPr>
            <w:tcW w:w="1242" w:type="dxa"/>
          </w:tcPr>
          <w:p w:rsidR="00F044EF" w:rsidRDefault="00F044EF">
            <w:pPr>
              <w:rPr>
                <w:sz w:val="20"/>
                <w:szCs w:val="20"/>
              </w:rPr>
            </w:pPr>
            <w:r>
              <w:rPr>
                <w:sz w:val="20"/>
                <w:szCs w:val="20"/>
              </w:rPr>
              <w:t>MM52</w:t>
            </w:r>
          </w:p>
        </w:tc>
        <w:tc>
          <w:tcPr>
            <w:tcW w:w="1134" w:type="dxa"/>
          </w:tcPr>
          <w:p w:rsidR="00F044EF" w:rsidRDefault="00F044EF">
            <w:pPr>
              <w:rPr>
                <w:sz w:val="20"/>
                <w:szCs w:val="20"/>
              </w:rPr>
            </w:pPr>
            <w:r>
              <w:rPr>
                <w:sz w:val="20"/>
                <w:szCs w:val="20"/>
              </w:rPr>
              <w:t>6.1</w:t>
            </w:r>
          </w:p>
        </w:tc>
        <w:tc>
          <w:tcPr>
            <w:tcW w:w="6866" w:type="dxa"/>
          </w:tcPr>
          <w:p w:rsidR="00F044EF" w:rsidRDefault="00CB1A59" w:rsidP="00E17B35">
            <w:pPr>
              <w:jc w:val="both"/>
              <w:rPr>
                <w:sz w:val="20"/>
                <w:szCs w:val="20"/>
              </w:rPr>
            </w:pPr>
            <w:r>
              <w:rPr>
                <w:sz w:val="20"/>
                <w:szCs w:val="20"/>
              </w:rPr>
              <w:t>Somewhat expected in light of the previous comments.</w:t>
            </w:r>
          </w:p>
        </w:tc>
      </w:tr>
      <w:tr w:rsidR="00F044EF" w:rsidTr="000804B3">
        <w:tc>
          <w:tcPr>
            <w:tcW w:w="1242" w:type="dxa"/>
          </w:tcPr>
          <w:p w:rsidR="00F044EF" w:rsidRDefault="00F044EF">
            <w:pPr>
              <w:rPr>
                <w:sz w:val="20"/>
                <w:szCs w:val="20"/>
              </w:rPr>
            </w:pPr>
            <w:r>
              <w:rPr>
                <w:sz w:val="20"/>
                <w:szCs w:val="20"/>
              </w:rPr>
              <w:t>MM53</w:t>
            </w:r>
          </w:p>
        </w:tc>
        <w:tc>
          <w:tcPr>
            <w:tcW w:w="1134" w:type="dxa"/>
          </w:tcPr>
          <w:p w:rsidR="00F044EF" w:rsidRDefault="00F044EF">
            <w:pPr>
              <w:rPr>
                <w:sz w:val="20"/>
                <w:szCs w:val="20"/>
              </w:rPr>
            </w:pPr>
            <w:r>
              <w:rPr>
                <w:sz w:val="20"/>
                <w:szCs w:val="20"/>
              </w:rPr>
              <w:t>AS.1</w:t>
            </w:r>
          </w:p>
        </w:tc>
        <w:tc>
          <w:tcPr>
            <w:tcW w:w="6866" w:type="dxa"/>
          </w:tcPr>
          <w:p w:rsidR="00F044EF" w:rsidRDefault="00CB1A59" w:rsidP="00E17B35">
            <w:pPr>
              <w:jc w:val="both"/>
              <w:rPr>
                <w:sz w:val="20"/>
                <w:szCs w:val="20"/>
              </w:rPr>
            </w:pPr>
            <w:r>
              <w:rPr>
                <w:sz w:val="20"/>
                <w:szCs w:val="20"/>
              </w:rPr>
              <w:t>Generally support but access to green space is no compensation to access to commuting, retail and leisure generated traffic to other major centres.</w:t>
            </w:r>
          </w:p>
          <w:p w:rsidR="00CB1A59" w:rsidRPr="00E17B35" w:rsidRDefault="00CB1A59" w:rsidP="00E17B35">
            <w:pPr>
              <w:jc w:val="both"/>
              <w:rPr>
                <w:sz w:val="16"/>
                <w:szCs w:val="16"/>
              </w:rPr>
            </w:pPr>
          </w:p>
          <w:p w:rsidR="00CB1A59" w:rsidRDefault="00CB1A59" w:rsidP="00E17B35">
            <w:pPr>
              <w:jc w:val="both"/>
              <w:rPr>
                <w:sz w:val="20"/>
                <w:szCs w:val="20"/>
              </w:rPr>
            </w:pPr>
            <w:r>
              <w:rPr>
                <w:sz w:val="20"/>
                <w:szCs w:val="20"/>
              </w:rPr>
              <w:t>To support the enhancement of emergency services is to be welcomed but GLH is too far away to benefit from those centred on Stratford and needs appropriately sized provision.</w:t>
            </w:r>
          </w:p>
        </w:tc>
      </w:tr>
      <w:tr w:rsidR="00F044EF" w:rsidTr="000804B3">
        <w:tc>
          <w:tcPr>
            <w:tcW w:w="1242" w:type="dxa"/>
          </w:tcPr>
          <w:p w:rsidR="00F044EF" w:rsidRDefault="00F044EF">
            <w:pPr>
              <w:rPr>
                <w:sz w:val="20"/>
                <w:szCs w:val="20"/>
              </w:rPr>
            </w:pPr>
            <w:r>
              <w:rPr>
                <w:sz w:val="20"/>
                <w:szCs w:val="20"/>
              </w:rPr>
              <w:t>MM54</w:t>
            </w:r>
          </w:p>
        </w:tc>
        <w:tc>
          <w:tcPr>
            <w:tcW w:w="1134" w:type="dxa"/>
          </w:tcPr>
          <w:p w:rsidR="00F044EF" w:rsidRDefault="00F044EF">
            <w:pPr>
              <w:rPr>
                <w:sz w:val="20"/>
                <w:szCs w:val="20"/>
              </w:rPr>
            </w:pPr>
            <w:r>
              <w:rPr>
                <w:sz w:val="20"/>
                <w:szCs w:val="20"/>
              </w:rPr>
              <w:t>SUA.1</w:t>
            </w:r>
          </w:p>
        </w:tc>
        <w:tc>
          <w:tcPr>
            <w:tcW w:w="6866" w:type="dxa"/>
          </w:tcPr>
          <w:p w:rsidR="00F044EF" w:rsidRDefault="00CB1A59" w:rsidP="00E17B35">
            <w:pPr>
              <w:jc w:val="both"/>
              <w:rPr>
                <w:sz w:val="20"/>
                <w:szCs w:val="20"/>
              </w:rPr>
            </w:pPr>
            <w:r>
              <w:rPr>
                <w:sz w:val="20"/>
                <w:szCs w:val="20"/>
              </w:rPr>
              <w:t>SPDs come after Core Strategies and modifications. SDC has got the sequencing consistently confused with regard to GLH!</w:t>
            </w:r>
          </w:p>
        </w:tc>
      </w:tr>
      <w:tr w:rsidR="00F044EF" w:rsidTr="000804B3">
        <w:tc>
          <w:tcPr>
            <w:tcW w:w="1242" w:type="dxa"/>
          </w:tcPr>
          <w:p w:rsidR="00F044EF" w:rsidRDefault="00F044EF">
            <w:pPr>
              <w:rPr>
                <w:sz w:val="20"/>
                <w:szCs w:val="20"/>
              </w:rPr>
            </w:pPr>
            <w:r>
              <w:rPr>
                <w:sz w:val="20"/>
                <w:szCs w:val="20"/>
              </w:rPr>
              <w:t>MM55</w:t>
            </w:r>
          </w:p>
        </w:tc>
        <w:tc>
          <w:tcPr>
            <w:tcW w:w="1134" w:type="dxa"/>
          </w:tcPr>
          <w:p w:rsidR="00F044EF" w:rsidRDefault="00F044EF">
            <w:pPr>
              <w:rPr>
                <w:sz w:val="20"/>
                <w:szCs w:val="20"/>
              </w:rPr>
            </w:pPr>
            <w:r>
              <w:rPr>
                <w:sz w:val="20"/>
                <w:szCs w:val="20"/>
              </w:rPr>
              <w:t>SUA.2</w:t>
            </w:r>
          </w:p>
        </w:tc>
        <w:tc>
          <w:tcPr>
            <w:tcW w:w="6866" w:type="dxa"/>
          </w:tcPr>
          <w:p w:rsidR="00F044EF" w:rsidRDefault="00F044EF" w:rsidP="00E17B35">
            <w:pPr>
              <w:jc w:val="both"/>
              <w:rPr>
                <w:sz w:val="20"/>
                <w:szCs w:val="20"/>
              </w:rPr>
            </w:pPr>
            <w:r>
              <w:rPr>
                <w:sz w:val="20"/>
                <w:szCs w:val="20"/>
              </w:rPr>
              <w:t>No Comment.</w:t>
            </w:r>
          </w:p>
        </w:tc>
      </w:tr>
      <w:tr w:rsidR="00F044EF" w:rsidTr="000804B3">
        <w:tc>
          <w:tcPr>
            <w:tcW w:w="1242" w:type="dxa"/>
          </w:tcPr>
          <w:p w:rsidR="00F044EF" w:rsidRDefault="00F044EF">
            <w:pPr>
              <w:rPr>
                <w:sz w:val="20"/>
                <w:szCs w:val="20"/>
              </w:rPr>
            </w:pPr>
            <w:r>
              <w:rPr>
                <w:sz w:val="20"/>
                <w:szCs w:val="20"/>
              </w:rPr>
              <w:t>MM57/58</w:t>
            </w:r>
          </w:p>
        </w:tc>
        <w:tc>
          <w:tcPr>
            <w:tcW w:w="1134" w:type="dxa"/>
          </w:tcPr>
          <w:p w:rsidR="00F044EF" w:rsidRDefault="00F044EF">
            <w:pPr>
              <w:rPr>
                <w:sz w:val="20"/>
                <w:szCs w:val="20"/>
              </w:rPr>
            </w:pPr>
            <w:proofErr w:type="spellStart"/>
            <w:r>
              <w:rPr>
                <w:sz w:val="20"/>
                <w:szCs w:val="20"/>
              </w:rPr>
              <w:t>na</w:t>
            </w:r>
            <w:proofErr w:type="spellEnd"/>
          </w:p>
        </w:tc>
        <w:tc>
          <w:tcPr>
            <w:tcW w:w="6866" w:type="dxa"/>
          </w:tcPr>
          <w:p w:rsidR="00F044EF" w:rsidRDefault="00F044EF" w:rsidP="00E17B35">
            <w:pPr>
              <w:jc w:val="both"/>
              <w:rPr>
                <w:sz w:val="20"/>
                <w:szCs w:val="20"/>
              </w:rPr>
            </w:pPr>
            <w:r>
              <w:rPr>
                <w:sz w:val="20"/>
                <w:szCs w:val="20"/>
              </w:rPr>
              <w:t>No Comment.</w:t>
            </w:r>
          </w:p>
        </w:tc>
      </w:tr>
      <w:tr w:rsidR="00F044EF" w:rsidTr="000804B3">
        <w:tc>
          <w:tcPr>
            <w:tcW w:w="1242" w:type="dxa"/>
          </w:tcPr>
          <w:p w:rsidR="00F044EF" w:rsidRDefault="00F044EF">
            <w:pPr>
              <w:rPr>
                <w:sz w:val="20"/>
                <w:szCs w:val="20"/>
              </w:rPr>
            </w:pPr>
            <w:r>
              <w:rPr>
                <w:sz w:val="20"/>
                <w:szCs w:val="20"/>
              </w:rPr>
              <w:t>MM59</w:t>
            </w:r>
          </w:p>
        </w:tc>
        <w:tc>
          <w:tcPr>
            <w:tcW w:w="1134" w:type="dxa"/>
          </w:tcPr>
          <w:p w:rsidR="00F044EF" w:rsidRDefault="00F044EF">
            <w:pPr>
              <w:rPr>
                <w:sz w:val="20"/>
                <w:szCs w:val="20"/>
              </w:rPr>
            </w:pPr>
            <w:r>
              <w:rPr>
                <w:sz w:val="20"/>
                <w:szCs w:val="20"/>
              </w:rPr>
              <w:t>6.2</w:t>
            </w:r>
          </w:p>
        </w:tc>
        <w:tc>
          <w:tcPr>
            <w:tcW w:w="6866" w:type="dxa"/>
          </w:tcPr>
          <w:p w:rsidR="00F044EF" w:rsidRDefault="00F044EF" w:rsidP="00E17B35">
            <w:pPr>
              <w:jc w:val="both"/>
              <w:rPr>
                <w:sz w:val="20"/>
                <w:szCs w:val="20"/>
              </w:rPr>
            </w:pPr>
            <w:r>
              <w:rPr>
                <w:sz w:val="20"/>
                <w:szCs w:val="20"/>
              </w:rPr>
              <w:t>Reserve Sites … hasn’t the CS already indicated that these are likely to be developed based on District agreements.</w:t>
            </w:r>
          </w:p>
        </w:tc>
      </w:tr>
      <w:tr w:rsidR="00F044EF" w:rsidTr="000804B3">
        <w:tc>
          <w:tcPr>
            <w:tcW w:w="1242" w:type="dxa"/>
          </w:tcPr>
          <w:p w:rsidR="00F044EF" w:rsidRDefault="00F044EF">
            <w:pPr>
              <w:rPr>
                <w:sz w:val="20"/>
                <w:szCs w:val="20"/>
              </w:rPr>
            </w:pPr>
            <w:r>
              <w:rPr>
                <w:sz w:val="20"/>
                <w:szCs w:val="20"/>
              </w:rPr>
              <w:t>MM60</w:t>
            </w:r>
          </w:p>
        </w:tc>
        <w:tc>
          <w:tcPr>
            <w:tcW w:w="1134" w:type="dxa"/>
          </w:tcPr>
          <w:p w:rsidR="00F044EF" w:rsidRDefault="00F044EF">
            <w:pPr>
              <w:rPr>
                <w:sz w:val="20"/>
                <w:szCs w:val="20"/>
              </w:rPr>
            </w:pPr>
            <w:r>
              <w:rPr>
                <w:sz w:val="20"/>
                <w:szCs w:val="20"/>
              </w:rPr>
              <w:t>AS.2</w:t>
            </w:r>
          </w:p>
        </w:tc>
        <w:tc>
          <w:tcPr>
            <w:tcW w:w="6866" w:type="dxa"/>
          </w:tcPr>
          <w:p w:rsidR="00F044EF" w:rsidRDefault="00F044EF" w:rsidP="00E17B35">
            <w:pPr>
              <w:jc w:val="both"/>
              <w:rPr>
                <w:sz w:val="20"/>
                <w:szCs w:val="20"/>
              </w:rPr>
            </w:pPr>
            <w:r>
              <w:rPr>
                <w:sz w:val="20"/>
                <w:szCs w:val="20"/>
              </w:rPr>
              <w:t>No Comment.</w:t>
            </w:r>
          </w:p>
        </w:tc>
      </w:tr>
      <w:tr w:rsidR="00473162" w:rsidTr="000804B3">
        <w:tc>
          <w:tcPr>
            <w:tcW w:w="1242" w:type="dxa"/>
          </w:tcPr>
          <w:p w:rsidR="00473162" w:rsidRDefault="00F044EF">
            <w:pPr>
              <w:rPr>
                <w:sz w:val="20"/>
                <w:szCs w:val="20"/>
              </w:rPr>
            </w:pPr>
            <w:r>
              <w:rPr>
                <w:sz w:val="20"/>
                <w:szCs w:val="20"/>
              </w:rPr>
              <w:t>MM61</w:t>
            </w:r>
          </w:p>
        </w:tc>
        <w:tc>
          <w:tcPr>
            <w:tcW w:w="1134" w:type="dxa"/>
          </w:tcPr>
          <w:p w:rsidR="00473162" w:rsidRDefault="00F044EF">
            <w:pPr>
              <w:rPr>
                <w:sz w:val="20"/>
                <w:szCs w:val="20"/>
              </w:rPr>
            </w:pPr>
            <w:r>
              <w:rPr>
                <w:sz w:val="20"/>
                <w:szCs w:val="20"/>
              </w:rPr>
              <w:t>ALC.3</w:t>
            </w:r>
          </w:p>
        </w:tc>
        <w:tc>
          <w:tcPr>
            <w:tcW w:w="6866" w:type="dxa"/>
          </w:tcPr>
          <w:p w:rsidR="00473162" w:rsidRDefault="00F044EF" w:rsidP="00E17B35">
            <w:pPr>
              <w:jc w:val="both"/>
              <w:rPr>
                <w:sz w:val="20"/>
                <w:szCs w:val="20"/>
              </w:rPr>
            </w:pPr>
            <w:r>
              <w:rPr>
                <w:sz w:val="20"/>
                <w:szCs w:val="20"/>
              </w:rPr>
              <w:t>Sounds sensible.</w:t>
            </w:r>
          </w:p>
        </w:tc>
      </w:tr>
      <w:tr w:rsidR="00F044EF" w:rsidTr="000804B3">
        <w:tc>
          <w:tcPr>
            <w:tcW w:w="1242" w:type="dxa"/>
          </w:tcPr>
          <w:p w:rsidR="00F044EF" w:rsidRDefault="00F044EF">
            <w:pPr>
              <w:rPr>
                <w:sz w:val="20"/>
                <w:szCs w:val="20"/>
              </w:rPr>
            </w:pPr>
            <w:r>
              <w:rPr>
                <w:sz w:val="20"/>
                <w:szCs w:val="20"/>
              </w:rPr>
              <w:t>MM62</w:t>
            </w:r>
          </w:p>
        </w:tc>
        <w:tc>
          <w:tcPr>
            <w:tcW w:w="1134" w:type="dxa"/>
          </w:tcPr>
          <w:p w:rsidR="00F044EF" w:rsidRDefault="00F044EF">
            <w:pPr>
              <w:rPr>
                <w:sz w:val="20"/>
                <w:szCs w:val="20"/>
              </w:rPr>
            </w:pPr>
            <w:r>
              <w:rPr>
                <w:sz w:val="20"/>
                <w:szCs w:val="20"/>
              </w:rPr>
              <w:t>6.3</w:t>
            </w:r>
          </w:p>
        </w:tc>
        <w:tc>
          <w:tcPr>
            <w:tcW w:w="6866" w:type="dxa"/>
          </w:tcPr>
          <w:p w:rsidR="00F044EF" w:rsidRDefault="00B2361C" w:rsidP="00E17B35">
            <w:pPr>
              <w:jc w:val="both"/>
              <w:rPr>
                <w:sz w:val="20"/>
                <w:szCs w:val="20"/>
              </w:rPr>
            </w:pPr>
            <w:r>
              <w:rPr>
                <w:sz w:val="20"/>
                <w:szCs w:val="20"/>
              </w:rPr>
              <w:t>No Comment.</w:t>
            </w:r>
          </w:p>
        </w:tc>
      </w:tr>
      <w:tr w:rsidR="00F044EF" w:rsidTr="000804B3">
        <w:tc>
          <w:tcPr>
            <w:tcW w:w="1242" w:type="dxa"/>
          </w:tcPr>
          <w:p w:rsidR="00F044EF" w:rsidRDefault="00F044EF">
            <w:pPr>
              <w:rPr>
                <w:sz w:val="20"/>
                <w:szCs w:val="20"/>
              </w:rPr>
            </w:pPr>
            <w:r>
              <w:rPr>
                <w:sz w:val="20"/>
                <w:szCs w:val="20"/>
              </w:rPr>
              <w:t>MM63</w:t>
            </w:r>
          </w:p>
        </w:tc>
        <w:tc>
          <w:tcPr>
            <w:tcW w:w="1134" w:type="dxa"/>
          </w:tcPr>
          <w:p w:rsidR="00F044EF" w:rsidRDefault="00F044EF">
            <w:pPr>
              <w:rPr>
                <w:sz w:val="20"/>
                <w:szCs w:val="20"/>
              </w:rPr>
            </w:pPr>
            <w:r>
              <w:rPr>
                <w:sz w:val="20"/>
                <w:szCs w:val="20"/>
              </w:rPr>
              <w:t>AS.3</w:t>
            </w:r>
          </w:p>
        </w:tc>
        <w:tc>
          <w:tcPr>
            <w:tcW w:w="6866" w:type="dxa"/>
          </w:tcPr>
          <w:p w:rsidR="00F044EF" w:rsidRDefault="00B2361C" w:rsidP="00E17B35">
            <w:pPr>
              <w:jc w:val="both"/>
              <w:rPr>
                <w:sz w:val="20"/>
                <w:szCs w:val="20"/>
              </w:rPr>
            </w:pPr>
            <w:r>
              <w:rPr>
                <w:sz w:val="20"/>
                <w:szCs w:val="20"/>
              </w:rPr>
              <w:t>No Comment.</w:t>
            </w:r>
          </w:p>
        </w:tc>
      </w:tr>
      <w:tr w:rsidR="00F044EF" w:rsidTr="000804B3">
        <w:tc>
          <w:tcPr>
            <w:tcW w:w="1242" w:type="dxa"/>
          </w:tcPr>
          <w:p w:rsidR="00F044EF" w:rsidRDefault="00F044EF">
            <w:pPr>
              <w:rPr>
                <w:sz w:val="20"/>
                <w:szCs w:val="20"/>
              </w:rPr>
            </w:pPr>
            <w:r>
              <w:rPr>
                <w:sz w:val="20"/>
                <w:szCs w:val="20"/>
              </w:rPr>
              <w:t>MM64</w:t>
            </w:r>
          </w:p>
        </w:tc>
        <w:tc>
          <w:tcPr>
            <w:tcW w:w="1134" w:type="dxa"/>
          </w:tcPr>
          <w:p w:rsidR="00F044EF" w:rsidRDefault="00F044EF">
            <w:pPr>
              <w:rPr>
                <w:sz w:val="20"/>
                <w:szCs w:val="20"/>
              </w:rPr>
            </w:pPr>
            <w:r>
              <w:rPr>
                <w:sz w:val="20"/>
                <w:szCs w:val="20"/>
              </w:rPr>
              <w:t>6.4</w:t>
            </w:r>
          </w:p>
        </w:tc>
        <w:tc>
          <w:tcPr>
            <w:tcW w:w="6866" w:type="dxa"/>
          </w:tcPr>
          <w:p w:rsidR="00F044EF" w:rsidRDefault="00B2361C" w:rsidP="00E17B35">
            <w:pPr>
              <w:jc w:val="both"/>
              <w:rPr>
                <w:sz w:val="20"/>
                <w:szCs w:val="20"/>
              </w:rPr>
            </w:pPr>
            <w:r>
              <w:rPr>
                <w:sz w:val="20"/>
                <w:szCs w:val="20"/>
              </w:rPr>
              <w:t>More evidence that the reserve seems to be expected with language of minimum being used.</w:t>
            </w:r>
          </w:p>
        </w:tc>
      </w:tr>
      <w:tr w:rsidR="00F044EF" w:rsidTr="000804B3">
        <w:tc>
          <w:tcPr>
            <w:tcW w:w="1242" w:type="dxa"/>
          </w:tcPr>
          <w:p w:rsidR="00F044EF" w:rsidRDefault="00F044EF">
            <w:pPr>
              <w:rPr>
                <w:sz w:val="20"/>
                <w:szCs w:val="20"/>
              </w:rPr>
            </w:pPr>
            <w:r>
              <w:rPr>
                <w:sz w:val="20"/>
                <w:szCs w:val="20"/>
              </w:rPr>
              <w:t>MM65</w:t>
            </w:r>
          </w:p>
        </w:tc>
        <w:tc>
          <w:tcPr>
            <w:tcW w:w="1134" w:type="dxa"/>
          </w:tcPr>
          <w:p w:rsidR="00F044EF" w:rsidRDefault="00F044EF">
            <w:pPr>
              <w:rPr>
                <w:sz w:val="20"/>
                <w:szCs w:val="20"/>
              </w:rPr>
            </w:pPr>
            <w:r>
              <w:rPr>
                <w:sz w:val="20"/>
                <w:szCs w:val="20"/>
              </w:rPr>
              <w:t>AS.4</w:t>
            </w:r>
          </w:p>
        </w:tc>
        <w:tc>
          <w:tcPr>
            <w:tcW w:w="6866" w:type="dxa"/>
          </w:tcPr>
          <w:p w:rsidR="00F044EF" w:rsidRDefault="00B2361C" w:rsidP="00E17B35">
            <w:pPr>
              <w:jc w:val="both"/>
              <w:rPr>
                <w:sz w:val="20"/>
                <w:szCs w:val="20"/>
              </w:rPr>
            </w:pPr>
            <w:r>
              <w:rPr>
                <w:sz w:val="20"/>
                <w:szCs w:val="20"/>
              </w:rPr>
              <w:t>No Comment.</w:t>
            </w:r>
          </w:p>
        </w:tc>
      </w:tr>
      <w:tr w:rsidR="00F044EF" w:rsidTr="000804B3">
        <w:tc>
          <w:tcPr>
            <w:tcW w:w="1242" w:type="dxa"/>
          </w:tcPr>
          <w:p w:rsidR="00F044EF" w:rsidRDefault="00F044EF">
            <w:pPr>
              <w:rPr>
                <w:sz w:val="20"/>
                <w:szCs w:val="20"/>
              </w:rPr>
            </w:pPr>
            <w:r>
              <w:rPr>
                <w:sz w:val="20"/>
                <w:szCs w:val="20"/>
              </w:rPr>
              <w:t>MM66</w:t>
            </w:r>
          </w:p>
        </w:tc>
        <w:tc>
          <w:tcPr>
            <w:tcW w:w="1134" w:type="dxa"/>
          </w:tcPr>
          <w:p w:rsidR="00F044EF" w:rsidRDefault="00F044EF">
            <w:pPr>
              <w:rPr>
                <w:sz w:val="20"/>
                <w:szCs w:val="20"/>
              </w:rPr>
            </w:pPr>
            <w:r>
              <w:rPr>
                <w:sz w:val="20"/>
                <w:szCs w:val="20"/>
              </w:rPr>
              <w:t>6.5</w:t>
            </w:r>
          </w:p>
        </w:tc>
        <w:tc>
          <w:tcPr>
            <w:tcW w:w="6866" w:type="dxa"/>
          </w:tcPr>
          <w:p w:rsidR="00F044EF" w:rsidRDefault="00B2361C" w:rsidP="00E17B35">
            <w:pPr>
              <w:jc w:val="both"/>
              <w:rPr>
                <w:sz w:val="20"/>
                <w:szCs w:val="20"/>
              </w:rPr>
            </w:pPr>
            <w:r>
              <w:rPr>
                <w:sz w:val="20"/>
                <w:szCs w:val="20"/>
              </w:rPr>
              <w:t>As MM64 6.4</w:t>
            </w:r>
          </w:p>
        </w:tc>
      </w:tr>
      <w:tr w:rsidR="00F044EF" w:rsidTr="000804B3">
        <w:tc>
          <w:tcPr>
            <w:tcW w:w="1242" w:type="dxa"/>
          </w:tcPr>
          <w:p w:rsidR="00F044EF" w:rsidRDefault="00B2361C">
            <w:pPr>
              <w:rPr>
                <w:sz w:val="20"/>
                <w:szCs w:val="20"/>
              </w:rPr>
            </w:pPr>
            <w:r>
              <w:rPr>
                <w:sz w:val="20"/>
                <w:szCs w:val="20"/>
              </w:rPr>
              <w:t>MM67</w:t>
            </w:r>
          </w:p>
        </w:tc>
        <w:tc>
          <w:tcPr>
            <w:tcW w:w="1134" w:type="dxa"/>
          </w:tcPr>
          <w:p w:rsidR="00F044EF" w:rsidRDefault="00B2361C">
            <w:pPr>
              <w:rPr>
                <w:sz w:val="20"/>
                <w:szCs w:val="20"/>
              </w:rPr>
            </w:pPr>
            <w:r>
              <w:rPr>
                <w:sz w:val="20"/>
                <w:szCs w:val="20"/>
              </w:rPr>
              <w:t>AS.5</w:t>
            </w:r>
          </w:p>
        </w:tc>
        <w:tc>
          <w:tcPr>
            <w:tcW w:w="6866" w:type="dxa"/>
          </w:tcPr>
          <w:p w:rsidR="00F044EF" w:rsidRDefault="00B2361C" w:rsidP="00E17B35">
            <w:pPr>
              <w:jc w:val="both"/>
              <w:rPr>
                <w:sz w:val="20"/>
                <w:szCs w:val="20"/>
              </w:rPr>
            </w:pPr>
            <w:r>
              <w:rPr>
                <w:sz w:val="20"/>
                <w:szCs w:val="20"/>
              </w:rPr>
              <w:t>Work needs doing to Kineton High but this is a missed opportunity to reorganise catchments and encourage JLR to sponsor a new academy on the GLH site.</w:t>
            </w:r>
          </w:p>
        </w:tc>
      </w:tr>
      <w:tr w:rsidR="00B2361C" w:rsidTr="000804B3">
        <w:tc>
          <w:tcPr>
            <w:tcW w:w="1242" w:type="dxa"/>
          </w:tcPr>
          <w:p w:rsidR="00B2361C" w:rsidRDefault="00EE59C5">
            <w:pPr>
              <w:rPr>
                <w:sz w:val="20"/>
                <w:szCs w:val="20"/>
              </w:rPr>
            </w:pPr>
            <w:r>
              <w:rPr>
                <w:sz w:val="20"/>
                <w:szCs w:val="20"/>
              </w:rPr>
              <w:t>MM68</w:t>
            </w:r>
          </w:p>
        </w:tc>
        <w:tc>
          <w:tcPr>
            <w:tcW w:w="1134" w:type="dxa"/>
          </w:tcPr>
          <w:p w:rsidR="00B2361C" w:rsidRDefault="00EE59C5">
            <w:pPr>
              <w:rPr>
                <w:sz w:val="20"/>
                <w:szCs w:val="20"/>
              </w:rPr>
            </w:pPr>
            <w:r>
              <w:rPr>
                <w:sz w:val="20"/>
                <w:szCs w:val="20"/>
              </w:rPr>
              <w:t>6.6</w:t>
            </w:r>
          </w:p>
        </w:tc>
        <w:tc>
          <w:tcPr>
            <w:tcW w:w="6866" w:type="dxa"/>
          </w:tcPr>
          <w:p w:rsidR="00B2361C" w:rsidRDefault="00EE59C5" w:rsidP="00E17B35">
            <w:pPr>
              <w:jc w:val="both"/>
              <w:rPr>
                <w:sz w:val="20"/>
                <w:szCs w:val="20"/>
              </w:rPr>
            </w:pPr>
            <w:r>
              <w:rPr>
                <w:sz w:val="20"/>
                <w:szCs w:val="20"/>
              </w:rPr>
              <w:t>As MM64 6.4</w:t>
            </w:r>
          </w:p>
        </w:tc>
      </w:tr>
      <w:tr w:rsidR="00B2361C" w:rsidTr="000804B3">
        <w:tc>
          <w:tcPr>
            <w:tcW w:w="1242" w:type="dxa"/>
          </w:tcPr>
          <w:p w:rsidR="00B2361C" w:rsidRDefault="00EE59C5">
            <w:pPr>
              <w:rPr>
                <w:sz w:val="20"/>
                <w:szCs w:val="20"/>
              </w:rPr>
            </w:pPr>
            <w:r>
              <w:rPr>
                <w:sz w:val="20"/>
                <w:szCs w:val="20"/>
              </w:rPr>
              <w:t>MM69</w:t>
            </w:r>
          </w:p>
        </w:tc>
        <w:tc>
          <w:tcPr>
            <w:tcW w:w="1134" w:type="dxa"/>
          </w:tcPr>
          <w:p w:rsidR="00B2361C" w:rsidRDefault="00EE59C5">
            <w:pPr>
              <w:rPr>
                <w:sz w:val="20"/>
                <w:szCs w:val="20"/>
              </w:rPr>
            </w:pPr>
            <w:r>
              <w:rPr>
                <w:sz w:val="20"/>
                <w:szCs w:val="20"/>
              </w:rPr>
              <w:t>AS.6</w:t>
            </w:r>
          </w:p>
        </w:tc>
        <w:tc>
          <w:tcPr>
            <w:tcW w:w="6866" w:type="dxa"/>
          </w:tcPr>
          <w:p w:rsidR="00B2361C" w:rsidRDefault="00EE59C5" w:rsidP="00E17B35">
            <w:pPr>
              <w:jc w:val="both"/>
              <w:rPr>
                <w:sz w:val="20"/>
                <w:szCs w:val="20"/>
              </w:rPr>
            </w:pPr>
            <w:r>
              <w:rPr>
                <w:sz w:val="20"/>
                <w:szCs w:val="20"/>
              </w:rPr>
              <w:t>Sounds sensible.</w:t>
            </w:r>
          </w:p>
        </w:tc>
      </w:tr>
      <w:tr w:rsidR="00B2361C" w:rsidTr="000804B3">
        <w:tc>
          <w:tcPr>
            <w:tcW w:w="1242" w:type="dxa"/>
          </w:tcPr>
          <w:p w:rsidR="00B2361C" w:rsidRDefault="003347F9">
            <w:pPr>
              <w:rPr>
                <w:sz w:val="20"/>
                <w:szCs w:val="20"/>
              </w:rPr>
            </w:pPr>
            <w:r>
              <w:rPr>
                <w:sz w:val="20"/>
                <w:szCs w:val="20"/>
              </w:rPr>
              <w:t>MM70</w:t>
            </w:r>
          </w:p>
        </w:tc>
        <w:tc>
          <w:tcPr>
            <w:tcW w:w="1134" w:type="dxa"/>
          </w:tcPr>
          <w:p w:rsidR="00B2361C" w:rsidRDefault="003347F9">
            <w:pPr>
              <w:rPr>
                <w:sz w:val="20"/>
                <w:szCs w:val="20"/>
              </w:rPr>
            </w:pPr>
            <w:r>
              <w:rPr>
                <w:sz w:val="20"/>
                <w:szCs w:val="20"/>
              </w:rPr>
              <w:t>6.7</w:t>
            </w:r>
          </w:p>
        </w:tc>
        <w:tc>
          <w:tcPr>
            <w:tcW w:w="6866" w:type="dxa"/>
          </w:tcPr>
          <w:p w:rsidR="00B2361C" w:rsidRDefault="00544097" w:rsidP="00E17B35">
            <w:pPr>
              <w:jc w:val="both"/>
              <w:rPr>
                <w:sz w:val="20"/>
                <w:szCs w:val="20"/>
              </w:rPr>
            </w:pPr>
            <w:r>
              <w:rPr>
                <w:sz w:val="20"/>
                <w:szCs w:val="20"/>
              </w:rPr>
              <w:t>There will be a big impact that needs to be matched with infrastructure improvements as already commented on.</w:t>
            </w:r>
          </w:p>
        </w:tc>
      </w:tr>
      <w:tr w:rsidR="00B2361C" w:rsidTr="000804B3">
        <w:tc>
          <w:tcPr>
            <w:tcW w:w="1242" w:type="dxa"/>
          </w:tcPr>
          <w:p w:rsidR="00B2361C" w:rsidRDefault="003347F9">
            <w:pPr>
              <w:rPr>
                <w:sz w:val="20"/>
                <w:szCs w:val="20"/>
              </w:rPr>
            </w:pPr>
            <w:r>
              <w:rPr>
                <w:sz w:val="20"/>
                <w:szCs w:val="20"/>
              </w:rPr>
              <w:t>MM71</w:t>
            </w:r>
          </w:p>
        </w:tc>
        <w:tc>
          <w:tcPr>
            <w:tcW w:w="1134" w:type="dxa"/>
          </w:tcPr>
          <w:p w:rsidR="00B2361C" w:rsidRDefault="003347F9">
            <w:pPr>
              <w:rPr>
                <w:sz w:val="20"/>
                <w:szCs w:val="20"/>
              </w:rPr>
            </w:pPr>
            <w:r>
              <w:rPr>
                <w:sz w:val="20"/>
                <w:szCs w:val="20"/>
              </w:rPr>
              <w:t>AS.7</w:t>
            </w:r>
          </w:p>
        </w:tc>
        <w:tc>
          <w:tcPr>
            <w:tcW w:w="6866" w:type="dxa"/>
          </w:tcPr>
          <w:p w:rsidR="00B2361C" w:rsidRDefault="00544097" w:rsidP="00E17B35">
            <w:pPr>
              <w:jc w:val="both"/>
              <w:rPr>
                <w:sz w:val="20"/>
                <w:szCs w:val="20"/>
              </w:rPr>
            </w:pPr>
            <w:r>
              <w:rPr>
                <w:sz w:val="20"/>
                <w:szCs w:val="20"/>
              </w:rPr>
              <w:t>Sounds sensible.</w:t>
            </w:r>
          </w:p>
        </w:tc>
      </w:tr>
      <w:tr w:rsidR="00B2361C" w:rsidTr="000804B3">
        <w:tc>
          <w:tcPr>
            <w:tcW w:w="1242" w:type="dxa"/>
          </w:tcPr>
          <w:p w:rsidR="00B2361C" w:rsidRDefault="003347F9">
            <w:pPr>
              <w:rPr>
                <w:sz w:val="20"/>
                <w:szCs w:val="20"/>
              </w:rPr>
            </w:pPr>
            <w:r>
              <w:rPr>
                <w:sz w:val="20"/>
                <w:szCs w:val="20"/>
              </w:rPr>
              <w:t>MM72</w:t>
            </w:r>
          </w:p>
        </w:tc>
        <w:tc>
          <w:tcPr>
            <w:tcW w:w="1134" w:type="dxa"/>
          </w:tcPr>
          <w:p w:rsidR="00B2361C" w:rsidRDefault="003347F9">
            <w:pPr>
              <w:rPr>
                <w:sz w:val="20"/>
                <w:szCs w:val="20"/>
              </w:rPr>
            </w:pPr>
            <w:proofErr w:type="spellStart"/>
            <w:r>
              <w:rPr>
                <w:sz w:val="20"/>
                <w:szCs w:val="20"/>
              </w:rPr>
              <w:t>na</w:t>
            </w:r>
            <w:proofErr w:type="spellEnd"/>
          </w:p>
        </w:tc>
        <w:tc>
          <w:tcPr>
            <w:tcW w:w="6866" w:type="dxa"/>
          </w:tcPr>
          <w:p w:rsidR="00B2361C" w:rsidRDefault="00544097" w:rsidP="00E17B35">
            <w:pPr>
              <w:jc w:val="both"/>
              <w:rPr>
                <w:sz w:val="20"/>
                <w:szCs w:val="20"/>
              </w:rPr>
            </w:pPr>
            <w:r>
              <w:rPr>
                <w:sz w:val="20"/>
                <w:szCs w:val="20"/>
              </w:rPr>
              <w:t>GPC notes that a new primary school has been deleted to be replaced with a contribution: unacceptable noting that there is to be such a big expansion of the town.</w:t>
            </w:r>
          </w:p>
          <w:p w:rsidR="00544097" w:rsidRPr="00E17B35" w:rsidRDefault="00544097" w:rsidP="00E17B35">
            <w:pPr>
              <w:jc w:val="both"/>
              <w:rPr>
                <w:sz w:val="16"/>
                <w:szCs w:val="16"/>
              </w:rPr>
            </w:pPr>
          </w:p>
          <w:p w:rsidR="00544097" w:rsidRDefault="00544097" w:rsidP="00E17B35">
            <w:pPr>
              <w:jc w:val="both"/>
              <w:rPr>
                <w:sz w:val="20"/>
                <w:szCs w:val="20"/>
              </w:rPr>
            </w:pPr>
            <w:r>
              <w:rPr>
                <w:sz w:val="20"/>
                <w:szCs w:val="20"/>
              </w:rPr>
              <w:t>There is no indication of need for extra capacity for Southam College – (not required with a change of catchment and the location of a secondary as part of GLH).</w:t>
            </w:r>
          </w:p>
          <w:p w:rsidR="00544097" w:rsidRPr="00E17B35" w:rsidRDefault="00544097" w:rsidP="00E17B35">
            <w:pPr>
              <w:jc w:val="both"/>
              <w:rPr>
                <w:sz w:val="16"/>
                <w:szCs w:val="16"/>
              </w:rPr>
            </w:pPr>
          </w:p>
          <w:p w:rsidR="00544097" w:rsidRDefault="00544097" w:rsidP="00E17B35">
            <w:pPr>
              <w:jc w:val="both"/>
              <w:rPr>
                <w:sz w:val="20"/>
                <w:szCs w:val="20"/>
              </w:rPr>
            </w:pPr>
            <w:r>
              <w:rPr>
                <w:sz w:val="20"/>
                <w:szCs w:val="20"/>
              </w:rPr>
              <w:t>Development on the cheap</w:t>
            </w:r>
            <w:r w:rsidR="00455691">
              <w:rPr>
                <w:sz w:val="20"/>
                <w:szCs w:val="20"/>
              </w:rPr>
              <w:t xml:space="preserve"> with the long term costs being carried out by SDC and WCC in the future: unacceptable pressure on the public purse in the years to come.</w:t>
            </w:r>
          </w:p>
        </w:tc>
      </w:tr>
      <w:tr w:rsidR="00B2361C" w:rsidTr="000804B3">
        <w:tc>
          <w:tcPr>
            <w:tcW w:w="1242" w:type="dxa"/>
          </w:tcPr>
          <w:p w:rsidR="00B2361C" w:rsidRDefault="003347F9">
            <w:pPr>
              <w:rPr>
                <w:sz w:val="20"/>
                <w:szCs w:val="20"/>
              </w:rPr>
            </w:pPr>
            <w:r>
              <w:rPr>
                <w:sz w:val="20"/>
                <w:szCs w:val="20"/>
              </w:rPr>
              <w:t>MM73</w:t>
            </w:r>
          </w:p>
        </w:tc>
        <w:tc>
          <w:tcPr>
            <w:tcW w:w="1134" w:type="dxa"/>
          </w:tcPr>
          <w:p w:rsidR="00B2361C" w:rsidRDefault="003347F9">
            <w:pPr>
              <w:rPr>
                <w:sz w:val="20"/>
                <w:szCs w:val="20"/>
              </w:rPr>
            </w:pPr>
            <w:r>
              <w:rPr>
                <w:sz w:val="20"/>
                <w:szCs w:val="20"/>
              </w:rPr>
              <w:t>6.8</w:t>
            </w:r>
          </w:p>
        </w:tc>
        <w:tc>
          <w:tcPr>
            <w:tcW w:w="6866" w:type="dxa"/>
          </w:tcPr>
          <w:p w:rsidR="00B2361C" w:rsidRDefault="00455691" w:rsidP="00E17B35">
            <w:pPr>
              <w:jc w:val="both"/>
              <w:rPr>
                <w:sz w:val="20"/>
                <w:szCs w:val="20"/>
              </w:rPr>
            </w:pPr>
            <w:r>
              <w:rPr>
                <w:sz w:val="20"/>
                <w:szCs w:val="20"/>
              </w:rPr>
              <w:t>As MM64 6.4</w:t>
            </w:r>
          </w:p>
        </w:tc>
      </w:tr>
      <w:tr w:rsidR="00B2361C" w:rsidTr="000804B3">
        <w:tc>
          <w:tcPr>
            <w:tcW w:w="1242" w:type="dxa"/>
          </w:tcPr>
          <w:p w:rsidR="00B2361C" w:rsidRDefault="003347F9">
            <w:pPr>
              <w:rPr>
                <w:sz w:val="20"/>
                <w:szCs w:val="20"/>
              </w:rPr>
            </w:pPr>
            <w:r>
              <w:rPr>
                <w:sz w:val="20"/>
                <w:szCs w:val="20"/>
              </w:rPr>
              <w:lastRenderedPageBreak/>
              <w:t>MM74</w:t>
            </w:r>
          </w:p>
        </w:tc>
        <w:tc>
          <w:tcPr>
            <w:tcW w:w="1134" w:type="dxa"/>
          </w:tcPr>
          <w:p w:rsidR="00B2361C" w:rsidRDefault="003347F9">
            <w:pPr>
              <w:rPr>
                <w:sz w:val="20"/>
                <w:szCs w:val="20"/>
              </w:rPr>
            </w:pPr>
            <w:r>
              <w:rPr>
                <w:sz w:val="20"/>
                <w:szCs w:val="20"/>
              </w:rPr>
              <w:t>AS.8</w:t>
            </w:r>
          </w:p>
        </w:tc>
        <w:tc>
          <w:tcPr>
            <w:tcW w:w="6866" w:type="dxa"/>
          </w:tcPr>
          <w:p w:rsidR="00B2361C" w:rsidRDefault="00455691" w:rsidP="00E17B35">
            <w:pPr>
              <w:jc w:val="both"/>
              <w:rPr>
                <w:sz w:val="20"/>
                <w:szCs w:val="20"/>
              </w:rPr>
            </w:pPr>
            <w:r>
              <w:rPr>
                <w:sz w:val="20"/>
                <w:szCs w:val="20"/>
              </w:rPr>
              <w:t>No Comment</w:t>
            </w:r>
          </w:p>
        </w:tc>
      </w:tr>
      <w:tr w:rsidR="003347F9" w:rsidTr="000804B3">
        <w:tc>
          <w:tcPr>
            <w:tcW w:w="1242" w:type="dxa"/>
          </w:tcPr>
          <w:p w:rsidR="003347F9" w:rsidRDefault="003347F9">
            <w:pPr>
              <w:rPr>
                <w:sz w:val="20"/>
                <w:szCs w:val="20"/>
              </w:rPr>
            </w:pPr>
            <w:r>
              <w:rPr>
                <w:sz w:val="20"/>
                <w:szCs w:val="20"/>
              </w:rPr>
              <w:t>MM75</w:t>
            </w:r>
          </w:p>
        </w:tc>
        <w:tc>
          <w:tcPr>
            <w:tcW w:w="1134" w:type="dxa"/>
          </w:tcPr>
          <w:p w:rsidR="003347F9" w:rsidRDefault="003347F9">
            <w:pPr>
              <w:rPr>
                <w:sz w:val="20"/>
                <w:szCs w:val="20"/>
              </w:rPr>
            </w:pPr>
            <w:r>
              <w:rPr>
                <w:sz w:val="20"/>
                <w:szCs w:val="20"/>
              </w:rPr>
              <w:t>6.9</w:t>
            </w:r>
          </w:p>
        </w:tc>
        <w:tc>
          <w:tcPr>
            <w:tcW w:w="6866" w:type="dxa"/>
          </w:tcPr>
          <w:p w:rsidR="003347F9" w:rsidRDefault="00455691" w:rsidP="00551808">
            <w:pPr>
              <w:jc w:val="both"/>
              <w:rPr>
                <w:sz w:val="20"/>
                <w:szCs w:val="20"/>
              </w:rPr>
            </w:pPr>
            <w:r>
              <w:rPr>
                <w:sz w:val="20"/>
                <w:szCs w:val="20"/>
              </w:rPr>
              <w:t>More evidence that secondary school provision needs restructuring?</w:t>
            </w:r>
          </w:p>
        </w:tc>
      </w:tr>
      <w:tr w:rsidR="003347F9" w:rsidTr="000804B3">
        <w:tc>
          <w:tcPr>
            <w:tcW w:w="1242" w:type="dxa"/>
          </w:tcPr>
          <w:p w:rsidR="003347F9" w:rsidRDefault="003347F9">
            <w:pPr>
              <w:rPr>
                <w:sz w:val="20"/>
                <w:szCs w:val="20"/>
              </w:rPr>
            </w:pPr>
            <w:r>
              <w:rPr>
                <w:sz w:val="20"/>
                <w:szCs w:val="20"/>
              </w:rPr>
              <w:t>MM76</w:t>
            </w:r>
          </w:p>
        </w:tc>
        <w:tc>
          <w:tcPr>
            <w:tcW w:w="1134" w:type="dxa"/>
          </w:tcPr>
          <w:p w:rsidR="003347F9" w:rsidRDefault="003347F9">
            <w:pPr>
              <w:rPr>
                <w:sz w:val="20"/>
                <w:szCs w:val="20"/>
              </w:rPr>
            </w:pPr>
            <w:r>
              <w:rPr>
                <w:sz w:val="20"/>
                <w:szCs w:val="20"/>
              </w:rPr>
              <w:t>AS.9</w:t>
            </w:r>
          </w:p>
        </w:tc>
        <w:tc>
          <w:tcPr>
            <w:tcW w:w="6866" w:type="dxa"/>
          </w:tcPr>
          <w:p w:rsidR="003347F9" w:rsidRDefault="00455691" w:rsidP="00551808">
            <w:pPr>
              <w:jc w:val="both"/>
              <w:rPr>
                <w:sz w:val="20"/>
                <w:szCs w:val="20"/>
              </w:rPr>
            </w:pPr>
            <w:r>
              <w:rPr>
                <w:sz w:val="20"/>
                <w:szCs w:val="20"/>
              </w:rPr>
              <w:t>Generally supported.</w:t>
            </w:r>
          </w:p>
        </w:tc>
      </w:tr>
      <w:tr w:rsidR="003347F9" w:rsidTr="000804B3">
        <w:tc>
          <w:tcPr>
            <w:tcW w:w="1242" w:type="dxa"/>
          </w:tcPr>
          <w:p w:rsidR="003347F9" w:rsidRDefault="003347F9">
            <w:pPr>
              <w:rPr>
                <w:sz w:val="20"/>
                <w:szCs w:val="20"/>
              </w:rPr>
            </w:pPr>
            <w:r>
              <w:rPr>
                <w:sz w:val="20"/>
                <w:szCs w:val="20"/>
              </w:rPr>
              <w:t>MM77</w:t>
            </w:r>
          </w:p>
        </w:tc>
        <w:tc>
          <w:tcPr>
            <w:tcW w:w="1134" w:type="dxa"/>
          </w:tcPr>
          <w:p w:rsidR="003347F9" w:rsidRDefault="003347F9">
            <w:pPr>
              <w:rPr>
                <w:sz w:val="20"/>
                <w:szCs w:val="20"/>
              </w:rPr>
            </w:pPr>
            <w:r>
              <w:rPr>
                <w:sz w:val="20"/>
                <w:szCs w:val="20"/>
              </w:rPr>
              <w:t>6.10</w:t>
            </w:r>
          </w:p>
        </w:tc>
        <w:tc>
          <w:tcPr>
            <w:tcW w:w="6866" w:type="dxa"/>
          </w:tcPr>
          <w:p w:rsidR="003347F9" w:rsidRDefault="00455691" w:rsidP="00551808">
            <w:pPr>
              <w:jc w:val="both"/>
              <w:rPr>
                <w:sz w:val="20"/>
                <w:szCs w:val="20"/>
              </w:rPr>
            </w:pPr>
            <w:r>
              <w:rPr>
                <w:sz w:val="20"/>
                <w:szCs w:val="20"/>
              </w:rPr>
              <w:t>Amazing that AML was missed out so spectacularly in the first CS!</w:t>
            </w:r>
          </w:p>
          <w:p w:rsidR="00455691" w:rsidRPr="00E17B35" w:rsidRDefault="00455691" w:rsidP="00551808">
            <w:pPr>
              <w:jc w:val="both"/>
              <w:rPr>
                <w:sz w:val="16"/>
                <w:szCs w:val="16"/>
              </w:rPr>
            </w:pPr>
          </w:p>
          <w:p w:rsidR="00455691" w:rsidRDefault="00455691" w:rsidP="00551808">
            <w:pPr>
              <w:jc w:val="both"/>
              <w:rPr>
                <w:sz w:val="20"/>
                <w:szCs w:val="20"/>
              </w:rPr>
            </w:pPr>
            <w:r>
              <w:rPr>
                <w:sz w:val="20"/>
                <w:szCs w:val="20"/>
              </w:rPr>
              <w:t xml:space="preserve">Will produce a SPD? – GPC has commented on one already and had its suggestions and comments seemingly disregarded if the recent applications are anything to go by. Are we to expect another regurgitation of the old one that recycles the same lack of ambition, that delivers inadequate infrastructure, that promotes the use of the private car and plans for a large, isolated housing estate that risks the generation of an unsafe settlement suffering from anti-social problems. </w:t>
            </w:r>
          </w:p>
          <w:p w:rsidR="00455691" w:rsidRPr="00E17B35" w:rsidRDefault="00455691" w:rsidP="00551808">
            <w:pPr>
              <w:jc w:val="both"/>
              <w:rPr>
                <w:sz w:val="16"/>
                <w:szCs w:val="16"/>
              </w:rPr>
            </w:pPr>
          </w:p>
          <w:p w:rsidR="00455691" w:rsidRDefault="00455691" w:rsidP="00551808">
            <w:pPr>
              <w:jc w:val="both"/>
              <w:rPr>
                <w:sz w:val="20"/>
                <w:szCs w:val="20"/>
              </w:rPr>
            </w:pPr>
            <w:r>
              <w:rPr>
                <w:sz w:val="20"/>
                <w:szCs w:val="20"/>
              </w:rPr>
              <w:t>GLH compares most unfavourably to what is being proposed for Long Marston.</w:t>
            </w:r>
          </w:p>
          <w:p w:rsidR="00455691" w:rsidRPr="00E17B35" w:rsidRDefault="00455691" w:rsidP="00551808">
            <w:pPr>
              <w:jc w:val="both"/>
              <w:rPr>
                <w:sz w:val="16"/>
                <w:szCs w:val="16"/>
              </w:rPr>
            </w:pPr>
          </w:p>
          <w:p w:rsidR="00455691" w:rsidRDefault="00455691" w:rsidP="00551808">
            <w:pPr>
              <w:jc w:val="both"/>
              <w:rPr>
                <w:sz w:val="20"/>
                <w:szCs w:val="20"/>
              </w:rPr>
            </w:pPr>
            <w:r>
              <w:rPr>
                <w:sz w:val="20"/>
                <w:szCs w:val="20"/>
              </w:rPr>
              <w:t xml:space="preserve">The clear encroachment of </w:t>
            </w:r>
            <w:proofErr w:type="spellStart"/>
            <w:r>
              <w:rPr>
                <w:sz w:val="20"/>
                <w:szCs w:val="20"/>
              </w:rPr>
              <w:t>Lighthorne</w:t>
            </w:r>
            <w:proofErr w:type="spellEnd"/>
            <w:r>
              <w:rPr>
                <w:sz w:val="20"/>
                <w:szCs w:val="20"/>
              </w:rPr>
              <w:t xml:space="preserve"> and the surrounding of </w:t>
            </w:r>
            <w:proofErr w:type="spellStart"/>
            <w:r>
              <w:rPr>
                <w:sz w:val="20"/>
                <w:szCs w:val="20"/>
              </w:rPr>
              <w:t>Lighthorne</w:t>
            </w:r>
            <w:proofErr w:type="spellEnd"/>
            <w:r>
              <w:rPr>
                <w:sz w:val="20"/>
                <w:szCs w:val="20"/>
              </w:rPr>
              <w:t xml:space="preserve"> Heath </w:t>
            </w:r>
            <w:proofErr w:type="gramStart"/>
            <w:r>
              <w:rPr>
                <w:sz w:val="20"/>
                <w:szCs w:val="20"/>
              </w:rPr>
              <w:t>is</w:t>
            </w:r>
            <w:proofErr w:type="gramEnd"/>
            <w:r>
              <w:rPr>
                <w:sz w:val="20"/>
                <w:szCs w:val="20"/>
              </w:rPr>
              <w:t xml:space="preserve"> sealed in this CS if adopted</w:t>
            </w:r>
            <w:r w:rsidR="000D3A7C">
              <w:rPr>
                <w:sz w:val="20"/>
                <w:szCs w:val="20"/>
              </w:rPr>
              <w:t>.</w:t>
            </w:r>
          </w:p>
          <w:p w:rsidR="00D9776C" w:rsidRPr="00E17B35" w:rsidRDefault="00D9776C" w:rsidP="00551808">
            <w:pPr>
              <w:jc w:val="both"/>
              <w:rPr>
                <w:sz w:val="16"/>
                <w:szCs w:val="16"/>
              </w:rPr>
            </w:pPr>
          </w:p>
          <w:p w:rsidR="00D9776C" w:rsidRDefault="00D9776C" w:rsidP="00551808">
            <w:pPr>
              <w:jc w:val="both"/>
              <w:rPr>
                <w:sz w:val="20"/>
                <w:szCs w:val="20"/>
              </w:rPr>
            </w:pPr>
            <w:r>
              <w:rPr>
                <w:sz w:val="20"/>
                <w:szCs w:val="20"/>
              </w:rPr>
              <w:t>Too little promised over Phase1 and GPC still does not accept that such a large settlement should be bereft of secondary and youth provision: a missed opportunity that invites wholly unacceptable risks to the project as a whole.</w:t>
            </w:r>
          </w:p>
          <w:p w:rsidR="00D9776C" w:rsidRPr="00E17B35" w:rsidRDefault="00D9776C" w:rsidP="00551808">
            <w:pPr>
              <w:jc w:val="both"/>
              <w:rPr>
                <w:sz w:val="16"/>
                <w:szCs w:val="16"/>
              </w:rPr>
            </w:pPr>
          </w:p>
          <w:p w:rsidR="00D9776C" w:rsidRDefault="00D9776C" w:rsidP="00551808">
            <w:pPr>
              <w:jc w:val="both"/>
              <w:rPr>
                <w:sz w:val="20"/>
                <w:szCs w:val="20"/>
              </w:rPr>
            </w:pPr>
            <w:r>
              <w:rPr>
                <w:sz w:val="20"/>
                <w:szCs w:val="20"/>
              </w:rPr>
              <w:t>The latest application for Phase1 of GLH includes precious little green space within the plan and is now as far away from the initial Garden Village/Town principle as is possible: a few trees planted alongside a road or two doesn’t count!</w:t>
            </w:r>
          </w:p>
          <w:p w:rsidR="00D9776C" w:rsidRPr="00E17B35" w:rsidRDefault="00D9776C" w:rsidP="00551808">
            <w:pPr>
              <w:jc w:val="both"/>
              <w:rPr>
                <w:sz w:val="16"/>
                <w:szCs w:val="16"/>
              </w:rPr>
            </w:pPr>
          </w:p>
          <w:p w:rsidR="00D9776C" w:rsidRDefault="00D9776C" w:rsidP="00551808">
            <w:pPr>
              <w:jc w:val="both"/>
              <w:rPr>
                <w:sz w:val="20"/>
                <w:szCs w:val="20"/>
              </w:rPr>
            </w:pPr>
            <w:r>
              <w:rPr>
                <w:sz w:val="20"/>
                <w:szCs w:val="20"/>
              </w:rPr>
              <w:t>Cycle paths to nowhere of local significance – none to Kineton – even though this is the proposed place for secondary provision and for swimming. There are no realistic cycle routes to Southam.</w:t>
            </w:r>
          </w:p>
          <w:p w:rsidR="00D9776C" w:rsidRPr="00E17B35" w:rsidRDefault="00D9776C" w:rsidP="00551808">
            <w:pPr>
              <w:jc w:val="both"/>
              <w:rPr>
                <w:sz w:val="16"/>
                <w:szCs w:val="16"/>
              </w:rPr>
            </w:pPr>
          </w:p>
          <w:p w:rsidR="00D9776C" w:rsidRDefault="00D9776C" w:rsidP="00551808">
            <w:pPr>
              <w:jc w:val="both"/>
              <w:rPr>
                <w:sz w:val="20"/>
                <w:szCs w:val="20"/>
              </w:rPr>
            </w:pPr>
            <w:r>
              <w:rPr>
                <w:sz w:val="20"/>
                <w:szCs w:val="20"/>
              </w:rPr>
              <w:t>Unlike Long Marston, there is no real commitment to improvements in road infrastructure that is vital during peak times. The total reliance on the B4100 with no alternatives on offer is unacceptable</w:t>
            </w:r>
            <w:r w:rsidR="00F0069B">
              <w:rPr>
                <w:sz w:val="20"/>
                <w:szCs w:val="20"/>
              </w:rPr>
              <w:t>: GPC has consistently argued that alternatives need to be included and would be happy to share alternatives.</w:t>
            </w:r>
          </w:p>
          <w:p w:rsidR="00F0069B" w:rsidRPr="00E17B35" w:rsidRDefault="00F0069B" w:rsidP="00551808">
            <w:pPr>
              <w:jc w:val="both"/>
              <w:rPr>
                <w:sz w:val="16"/>
                <w:szCs w:val="16"/>
              </w:rPr>
            </w:pPr>
          </w:p>
          <w:p w:rsidR="00F0069B" w:rsidRDefault="00F0069B" w:rsidP="00551808">
            <w:pPr>
              <w:jc w:val="both"/>
              <w:rPr>
                <w:sz w:val="20"/>
                <w:szCs w:val="20"/>
              </w:rPr>
            </w:pPr>
            <w:r>
              <w:rPr>
                <w:sz w:val="20"/>
                <w:szCs w:val="20"/>
              </w:rPr>
              <w:t>SDC clearly doesn’t want to put off JLR and so why is it considered acceptable to cause further disruption to commuting traffic by suggesting a further widening of a road that is being widened now?</w:t>
            </w:r>
          </w:p>
          <w:p w:rsidR="00F0069B" w:rsidRPr="00E17B35" w:rsidRDefault="00F0069B" w:rsidP="00551808">
            <w:pPr>
              <w:jc w:val="both"/>
              <w:rPr>
                <w:sz w:val="16"/>
                <w:szCs w:val="16"/>
              </w:rPr>
            </w:pPr>
          </w:p>
          <w:p w:rsidR="00F0069B" w:rsidRDefault="00F0069B" w:rsidP="00551808">
            <w:pPr>
              <w:jc w:val="both"/>
              <w:rPr>
                <w:sz w:val="20"/>
                <w:szCs w:val="20"/>
              </w:rPr>
            </w:pPr>
            <w:r>
              <w:rPr>
                <w:sz w:val="20"/>
                <w:szCs w:val="20"/>
              </w:rPr>
              <w:t xml:space="preserve">The lack of alternative employment opportunities to JLR mean that peak traffic will be further made worse and </w:t>
            </w:r>
            <w:proofErr w:type="gramStart"/>
            <w:r>
              <w:rPr>
                <w:sz w:val="20"/>
                <w:szCs w:val="20"/>
              </w:rPr>
              <w:t>adds</w:t>
            </w:r>
            <w:proofErr w:type="gramEnd"/>
            <w:r>
              <w:rPr>
                <w:sz w:val="20"/>
                <w:szCs w:val="20"/>
              </w:rPr>
              <w:t xml:space="preserve"> to the need – not recognised in the assessments made so far.</w:t>
            </w:r>
          </w:p>
          <w:p w:rsidR="00F0069B" w:rsidRPr="00E17B35" w:rsidRDefault="00F0069B" w:rsidP="00551808">
            <w:pPr>
              <w:jc w:val="both"/>
              <w:rPr>
                <w:sz w:val="16"/>
                <w:szCs w:val="16"/>
              </w:rPr>
            </w:pPr>
          </w:p>
          <w:p w:rsidR="00F0069B" w:rsidRDefault="00F0069B" w:rsidP="00551808">
            <w:pPr>
              <w:jc w:val="both"/>
              <w:rPr>
                <w:sz w:val="20"/>
                <w:szCs w:val="20"/>
              </w:rPr>
            </w:pPr>
            <w:r>
              <w:rPr>
                <w:sz w:val="20"/>
                <w:szCs w:val="20"/>
              </w:rPr>
              <w:t xml:space="preserve">The visual impact can hardly be minimised from Burton </w:t>
            </w:r>
            <w:proofErr w:type="spellStart"/>
            <w:r>
              <w:rPr>
                <w:sz w:val="20"/>
                <w:szCs w:val="20"/>
              </w:rPr>
              <w:t>Dassett</w:t>
            </w:r>
            <w:proofErr w:type="spellEnd"/>
            <w:r>
              <w:rPr>
                <w:sz w:val="20"/>
                <w:szCs w:val="20"/>
              </w:rPr>
              <w:t xml:space="preserve"> Country Park and Edgehill when the site is so elevated and south sloping.</w:t>
            </w:r>
          </w:p>
        </w:tc>
      </w:tr>
      <w:tr w:rsidR="003347F9" w:rsidTr="000804B3">
        <w:tc>
          <w:tcPr>
            <w:tcW w:w="1242" w:type="dxa"/>
          </w:tcPr>
          <w:p w:rsidR="003347F9" w:rsidRDefault="00950AE3">
            <w:pPr>
              <w:rPr>
                <w:sz w:val="20"/>
                <w:szCs w:val="20"/>
              </w:rPr>
            </w:pPr>
            <w:r>
              <w:rPr>
                <w:sz w:val="20"/>
                <w:szCs w:val="20"/>
              </w:rPr>
              <w:t>MM78</w:t>
            </w:r>
          </w:p>
        </w:tc>
        <w:tc>
          <w:tcPr>
            <w:tcW w:w="1134" w:type="dxa"/>
          </w:tcPr>
          <w:p w:rsidR="003347F9" w:rsidRDefault="00950AE3">
            <w:pPr>
              <w:rPr>
                <w:sz w:val="20"/>
                <w:szCs w:val="20"/>
              </w:rPr>
            </w:pPr>
            <w:proofErr w:type="spellStart"/>
            <w:r>
              <w:rPr>
                <w:sz w:val="20"/>
                <w:szCs w:val="20"/>
              </w:rPr>
              <w:t>na</w:t>
            </w:r>
            <w:proofErr w:type="spellEnd"/>
          </w:p>
        </w:tc>
        <w:tc>
          <w:tcPr>
            <w:tcW w:w="6866" w:type="dxa"/>
          </w:tcPr>
          <w:p w:rsidR="003347F9" w:rsidRDefault="00F0069B" w:rsidP="00551808">
            <w:pPr>
              <w:jc w:val="both"/>
              <w:rPr>
                <w:sz w:val="20"/>
                <w:szCs w:val="20"/>
              </w:rPr>
            </w:pPr>
            <w:r>
              <w:rPr>
                <w:sz w:val="20"/>
                <w:szCs w:val="20"/>
              </w:rPr>
              <w:t>Everything that SDC wanted to avoid – but it is noted that it comes with far more generous facilities and infrastructure (as it should) compared to the mean provision associated with GLH.</w:t>
            </w:r>
          </w:p>
          <w:p w:rsidR="0064591B" w:rsidRPr="00E17B35" w:rsidRDefault="0064591B" w:rsidP="00551808">
            <w:pPr>
              <w:jc w:val="both"/>
              <w:rPr>
                <w:sz w:val="16"/>
                <w:szCs w:val="16"/>
              </w:rPr>
            </w:pPr>
          </w:p>
          <w:p w:rsidR="0064591B" w:rsidRDefault="0064591B" w:rsidP="00551808">
            <w:pPr>
              <w:jc w:val="both"/>
              <w:rPr>
                <w:sz w:val="20"/>
                <w:szCs w:val="20"/>
              </w:rPr>
            </w:pPr>
            <w:r>
              <w:rPr>
                <w:sz w:val="20"/>
                <w:szCs w:val="20"/>
              </w:rPr>
              <w:t>It is noted that there are far better transport links with Stratford: this is the new settlement that should be prioritised as it has the greatest chance of being sustainable.</w:t>
            </w:r>
          </w:p>
        </w:tc>
      </w:tr>
      <w:tr w:rsidR="003347F9" w:rsidTr="000804B3">
        <w:tc>
          <w:tcPr>
            <w:tcW w:w="1242" w:type="dxa"/>
          </w:tcPr>
          <w:p w:rsidR="003347F9" w:rsidRDefault="00950AE3">
            <w:pPr>
              <w:rPr>
                <w:sz w:val="20"/>
                <w:szCs w:val="20"/>
              </w:rPr>
            </w:pPr>
            <w:r>
              <w:rPr>
                <w:sz w:val="20"/>
                <w:szCs w:val="20"/>
              </w:rPr>
              <w:t>MM81</w:t>
            </w:r>
          </w:p>
        </w:tc>
        <w:tc>
          <w:tcPr>
            <w:tcW w:w="1134" w:type="dxa"/>
          </w:tcPr>
          <w:p w:rsidR="003347F9" w:rsidRDefault="00950AE3">
            <w:pPr>
              <w:rPr>
                <w:sz w:val="20"/>
                <w:szCs w:val="20"/>
              </w:rPr>
            </w:pPr>
            <w:r>
              <w:rPr>
                <w:sz w:val="20"/>
                <w:szCs w:val="20"/>
              </w:rPr>
              <w:t>AS.11</w:t>
            </w:r>
          </w:p>
        </w:tc>
        <w:tc>
          <w:tcPr>
            <w:tcW w:w="6866" w:type="dxa"/>
          </w:tcPr>
          <w:p w:rsidR="003347F9" w:rsidRDefault="0064591B">
            <w:pPr>
              <w:rPr>
                <w:sz w:val="20"/>
                <w:szCs w:val="20"/>
              </w:rPr>
            </w:pPr>
            <w:r>
              <w:rPr>
                <w:sz w:val="20"/>
                <w:szCs w:val="20"/>
              </w:rPr>
              <w:t>Most points are welcomed but weak and lacking ambition.</w:t>
            </w:r>
          </w:p>
        </w:tc>
      </w:tr>
      <w:tr w:rsidR="003347F9" w:rsidTr="000804B3">
        <w:tc>
          <w:tcPr>
            <w:tcW w:w="1242" w:type="dxa"/>
          </w:tcPr>
          <w:p w:rsidR="003347F9" w:rsidRDefault="00950AE3">
            <w:pPr>
              <w:rPr>
                <w:sz w:val="20"/>
                <w:szCs w:val="20"/>
              </w:rPr>
            </w:pPr>
            <w:r>
              <w:rPr>
                <w:sz w:val="20"/>
                <w:szCs w:val="20"/>
              </w:rPr>
              <w:t>MM82-86</w:t>
            </w:r>
          </w:p>
        </w:tc>
        <w:tc>
          <w:tcPr>
            <w:tcW w:w="1134" w:type="dxa"/>
          </w:tcPr>
          <w:p w:rsidR="003347F9" w:rsidRDefault="00950AE3">
            <w:pPr>
              <w:rPr>
                <w:sz w:val="20"/>
                <w:szCs w:val="20"/>
              </w:rPr>
            </w:pPr>
            <w:r>
              <w:rPr>
                <w:sz w:val="20"/>
                <w:szCs w:val="20"/>
              </w:rPr>
              <w:t>CS24/CS25</w:t>
            </w:r>
          </w:p>
        </w:tc>
        <w:tc>
          <w:tcPr>
            <w:tcW w:w="6866" w:type="dxa"/>
          </w:tcPr>
          <w:p w:rsidR="003347F9" w:rsidRDefault="00950AE3">
            <w:pPr>
              <w:rPr>
                <w:sz w:val="20"/>
                <w:szCs w:val="20"/>
              </w:rPr>
            </w:pPr>
            <w:r>
              <w:rPr>
                <w:sz w:val="20"/>
                <w:szCs w:val="20"/>
              </w:rPr>
              <w:t>No Comment.</w:t>
            </w:r>
          </w:p>
        </w:tc>
      </w:tr>
      <w:tr w:rsidR="003347F9" w:rsidTr="000804B3">
        <w:tc>
          <w:tcPr>
            <w:tcW w:w="1242" w:type="dxa"/>
          </w:tcPr>
          <w:p w:rsidR="003347F9" w:rsidRDefault="00950AE3">
            <w:pPr>
              <w:rPr>
                <w:sz w:val="20"/>
                <w:szCs w:val="20"/>
              </w:rPr>
            </w:pPr>
            <w:r>
              <w:rPr>
                <w:sz w:val="20"/>
                <w:szCs w:val="20"/>
              </w:rPr>
              <w:t>MM87</w:t>
            </w:r>
          </w:p>
        </w:tc>
        <w:tc>
          <w:tcPr>
            <w:tcW w:w="1134" w:type="dxa"/>
          </w:tcPr>
          <w:p w:rsidR="003347F9" w:rsidRDefault="00950AE3">
            <w:pPr>
              <w:rPr>
                <w:sz w:val="20"/>
                <w:szCs w:val="20"/>
              </w:rPr>
            </w:pPr>
            <w:r>
              <w:rPr>
                <w:sz w:val="20"/>
                <w:szCs w:val="20"/>
              </w:rPr>
              <w:t>CS25 DMCs</w:t>
            </w:r>
          </w:p>
        </w:tc>
        <w:tc>
          <w:tcPr>
            <w:tcW w:w="6866" w:type="dxa"/>
          </w:tcPr>
          <w:p w:rsidR="003347F9" w:rsidRDefault="000F166C" w:rsidP="00551808">
            <w:pPr>
              <w:jc w:val="both"/>
              <w:rPr>
                <w:sz w:val="20"/>
                <w:szCs w:val="20"/>
              </w:rPr>
            </w:pPr>
            <w:r>
              <w:rPr>
                <w:sz w:val="20"/>
                <w:szCs w:val="20"/>
              </w:rPr>
              <w:t>The Travel P</w:t>
            </w:r>
            <w:r w:rsidR="00F03314">
              <w:rPr>
                <w:sz w:val="20"/>
                <w:szCs w:val="20"/>
              </w:rPr>
              <w:t>lan for GLH lacked any ambition</w:t>
            </w:r>
            <w:r>
              <w:rPr>
                <w:sz w:val="20"/>
                <w:szCs w:val="20"/>
              </w:rPr>
              <w:t xml:space="preserve"> and longevity as there was and still is no real alternative to the private car. Even now the bus services are </w:t>
            </w:r>
            <w:r>
              <w:rPr>
                <w:sz w:val="20"/>
                <w:szCs w:val="20"/>
              </w:rPr>
              <w:lastRenderedPageBreak/>
              <w:t>being cut back in the area.</w:t>
            </w:r>
          </w:p>
        </w:tc>
      </w:tr>
      <w:tr w:rsidR="003347F9" w:rsidTr="000804B3">
        <w:tc>
          <w:tcPr>
            <w:tcW w:w="1242" w:type="dxa"/>
          </w:tcPr>
          <w:p w:rsidR="003347F9" w:rsidRDefault="006C0AB4">
            <w:pPr>
              <w:rPr>
                <w:sz w:val="20"/>
                <w:szCs w:val="20"/>
              </w:rPr>
            </w:pPr>
            <w:r>
              <w:rPr>
                <w:sz w:val="20"/>
                <w:szCs w:val="20"/>
              </w:rPr>
              <w:lastRenderedPageBreak/>
              <w:t>MM88</w:t>
            </w:r>
          </w:p>
        </w:tc>
        <w:tc>
          <w:tcPr>
            <w:tcW w:w="1134" w:type="dxa"/>
          </w:tcPr>
          <w:p w:rsidR="003347F9" w:rsidRDefault="006C0AB4">
            <w:pPr>
              <w:rPr>
                <w:sz w:val="20"/>
                <w:szCs w:val="20"/>
              </w:rPr>
            </w:pPr>
            <w:r>
              <w:rPr>
                <w:sz w:val="20"/>
                <w:szCs w:val="20"/>
              </w:rPr>
              <w:t>8.1</w:t>
            </w:r>
          </w:p>
        </w:tc>
        <w:tc>
          <w:tcPr>
            <w:tcW w:w="6866" w:type="dxa"/>
          </w:tcPr>
          <w:p w:rsidR="003347F9" w:rsidRDefault="006C0AB4" w:rsidP="00551808">
            <w:pPr>
              <w:jc w:val="both"/>
              <w:rPr>
                <w:sz w:val="20"/>
                <w:szCs w:val="20"/>
              </w:rPr>
            </w:pPr>
            <w:r>
              <w:rPr>
                <w:sz w:val="20"/>
                <w:szCs w:val="20"/>
              </w:rPr>
              <w:t>Already commented on.</w:t>
            </w:r>
          </w:p>
        </w:tc>
      </w:tr>
      <w:tr w:rsidR="006C0AB4" w:rsidTr="000804B3">
        <w:tc>
          <w:tcPr>
            <w:tcW w:w="1242" w:type="dxa"/>
          </w:tcPr>
          <w:p w:rsidR="006C0AB4" w:rsidRDefault="006C0AB4">
            <w:pPr>
              <w:rPr>
                <w:sz w:val="20"/>
                <w:szCs w:val="20"/>
              </w:rPr>
            </w:pPr>
            <w:r>
              <w:rPr>
                <w:sz w:val="20"/>
                <w:szCs w:val="20"/>
              </w:rPr>
              <w:t>MM89-91</w:t>
            </w:r>
          </w:p>
        </w:tc>
        <w:tc>
          <w:tcPr>
            <w:tcW w:w="1134" w:type="dxa"/>
          </w:tcPr>
          <w:p w:rsidR="006C0AB4" w:rsidRDefault="006C0AB4">
            <w:pPr>
              <w:rPr>
                <w:sz w:val="20"/>
                <w:szCs w:val="20"/>
              </w:rPr>
            </w:pPr>
          </w:p>
        </w:tc>
        <w:tc>
          <w:tcPr>
            <w:tcW w:w="6866" w:type="dxa"/>
          </w:tcPr>
          <w:p w:rsidR="006C0AB4" w:rsidRDefault="006C0AB4" w:rsidP="00551808">
            <w:pPr>
              <w:jc w:val="both"/>
              <w:rPr>
                <w:sz w:val="20"/>
                <w:szCs w:val="20"/>
              </w:rPr>
            </w:pPr>
            <w:r>
              <w:rPr>
                <w:sz w:val="20"/>
                <w:szCs w:val="20"/>
              </w:rPr>
              <w:t>Largely commented upon.</w:t>
            </w:r>
          </w:p>
        </w:tc>
      </w:tr>
      <w:tr w:rsidR="006C0AB4" w:rsidTr="000804B3">
        <w:tc>
          <w:tcPr>
            <w:tcW w:w="1242" w:type="dxa"/>
          </w:tcPr>
          <w:p w:rsidR="006C0AB4" w:rsidRDefault="006C0AB4">
            <w:pPr>
              <w:rPr>
                <w:sz w:val="20"/>
                <w:szCs w:val="20"/>
              </w:rPr>
            </w:pPr>
            <w:r>
              <w:rPr>
                <w:sz w:val="20"/>
                <w:szCs w:val="20"/>
              </w:rPr>
              <w:t>MM92</w:t>
            </w:r>
          </w:p>
        </w:tc>
        <w:tc>
          <w:tcPr>
            <w:tcW w:w="1134" w:type="dxa"/>
          </w:tcPr>
          <w:p w:rsidR="006C0AB4" w:rsidRDefault="006C0AB4">
            <w:pPr>
              <w:rPr>
                <w:sz w:val="20"/>
                <w:szCs w:val="20"/>
              </w:rPr>
            </w:pPr>
          </w:p>
        </w:tc>
        <w:tc>
          <w:tcPr>
            <w:tcW w:w="6866" w:type="dxa"/>
          </w:tcPr>
          <w:p w:rsidR="006C0AB4" w:rsidRDefault="006C0AB4" w:rsidP="00551808">
            <w:pPr>
              <w:jc w:val="both"/>
              <w:rPr>
                <w:sz w:val="20"/>
                <w:szCs w:val="20"/>
              </w:rPr>
            </w:pPr>
            <w:r>
              <w:rPr>
                <w:sz w:val="20"/>
                <w:szCs w:val="20"/>
              </w:rPr>
              <w:t>No Comment.</w:t>
            </w:r>
          </w:p>
        </w:tc>
      </w:tr>
      <w:tr w:rsidR="006C0AB4" w:rsidTr="000804B3">
        <w:tc>
          <w:tcPr>
            <w:tcW w:w="1242" w:type="dxa"/>
          </w:tcPr>
          <w:p w:rsidR="006C0AB4" w:rsidRDefault="006C0AB4">
            <w:pPr>
              <w:rPr>
                <w:sz w:val="20"/>
                <w:szCs w:val="20"/>
              </w:rPr>
            </w:pPr>
            <w:r>
              <w:rPr>
                <w:sz w:val="20"/>
                <w:szCs w:val="20"/>
              </w:rPr>
              <w:t>Fig1</w:t>
            </w:r>
          </w:p>
          <w:p w:rsidR="006C0AB4" w:rsidRDefault="006C0AB4">
            <w:pPr>
              <w:rPr>
                <w:sz w:val="20"/>
                <w:szCs w:val="20"/>
              </w:rPr>
            </w:pPr>
          </w:p>
        </w:tc>
        <w:tc>
          <w:tcPr>
            <w:tcW w:w="1134" w:type="dxa"/>
          </w:tcPr>
          <w:p w:rsidR="006C0AB4" w:rsidRDefault="006C0AB4" w:rsidP="006C0AB4">
            <w:pPr>
              <w:rPr>
                <w:sz w:val="20"/>
                <w:szCs w:val="20"/>
              </w:rPr>
            </w:pPr>
            <w:r>
              <w:rPr>
                <w:sz w:val="20"/>
                <w:szCs w:val="20"/>
              </w:rPr>
              <w:t>Trajectory</w:t>
            </w:r>
          </w:p>
          <w:p w:rsidR="006C0AB4" w:rsidRDefault="006C0AB4" w:rsidP="006C0AB4">
            <w:pPr>
              <w:rPr>
                <w:sz w:val="20"/>
                <w:szCs w:val="20"/>
              </w:rPr>
            </w:pPr>
            <w:r>
              <w:rPr>
                <w:sz w:val="20"/>
                <w:szCs w:val="20"/>
              </w:rPr>
              <w:t>Table</w:t>
            </w:r>
          </w:p>
        </w:tc>
        <w:tc>
          <w:tcPr>
            <w:tcW w:w="6866" w:type="dxa"/>
          </w:tcPr>
          <w:p w:rsidR="006C0AB4" w:rsidRDefault="000F166C" w:rsidP="00551808">
            <w:pPr>
              <w:jc w:val="both"/>
              <w:rPr>
                <w:sz w:val="20"/>
                <w:szCs w:val="20"/>
              </w:rPr>
            </w:pPr>
            <w:r>
              <w:rPr>
                <w:sz w:val="20"/>
                <w:szCs w:val="20"/>
              </w:rPr>
              <w:t>No Comment. GLH is firmly opposed without adequate facilities and transport infrastructure being planned for and then delivered.</w:t>
            </w:r>
          </w:p>
        </w:tc>
      </w:tr>
      <w:tr w:rsidR="003347F9" w:rsidTr="000804B3">
        <w:tc>
          <w:tcPr>
            <w:tcW w:w="1242" w:type="dxa"/>
          </w:tcPr>
          <w:p w:rsidR="003347F9" w:rsidRDefault="006C0AB4">
            <w:pPr>
              <w:rPr>
                <w:sz w:val="20"/>
                <w:szCs w:val="20"/>
              </w:rPr>
            </w:pPr>
            <w:r>
              <w:rPr>
                <w:sz w:val="20"/>
                <w:szCs w:val="20"/>
              </w:rPr>
              <w:t>Fig1</w:t>
            </w:r>
          </w:p>
        </w:tc>
        <w:tc>
          <w:tcPr>
            <w:tcW w:w="1134" w:type="dxa"/>
          </w:tcPr>
          <w:p w:rsidR="003347F9" w:rsidRDefault="006C0AB4">
            <w:pPr>
              <w:rPr>
                <w:sz w:val="20"/>
                <w:szCs w:val="20"/>
              </w:rPr>
            </w:pPr>
            <w:r>
              <w:rPr>
                <w:sz w:val="20"/>
                <w:szCs w:val="20"/>
              </w:rPr>
              <w:t>Graph</w:t>
            </w:r>
          </w:p>
        </w:tc>
        <w:tc>
          <w:tcPr>
            <w:tcW w:w="6866" w:type="dxa"/>
          </w:tcPr>
          <w:p w:rsidR="003347F9" w:rsidRDefault="000F166C" w:rsidP="00551808">
            <w:pPr>
              <w:jc w:val="both"/>
              <w:rPr>
                <w:sz w:val="20"/>
                <w:szCs w:val="20"/>
              </w:rPr>
            </w:pPr>
            <w:r>
              <w:rPr>
                <w:sz w:val="20"/>
                <w:szCs w:val="20"/>
              </w:rPr>
              <w:t>This assumes that there are the builders and materials available to enable such rapid building to proceed.</w:t>
            </w:r>
          </w:p>
        </w:tc>
      </w:tr>
    </w:tbl>
    <w:p w:rsidR="000804B3" w:rsidRDefault="000804B3"/>
    <w:p w:rsidR="00A476A6" w:rsidRPr="00A22D0D" w:rsidRDefault="00A476A6">
      <w:pPr>
        <w:rPr>
          <w:b/>
          <w:sz w:val="26"/>
          <w:szCs w:val="26"/>
          <w:u w:val="single"/>
        </w:rPr>
      </w:pPr>
      <w:r w:rsidRPr="00A22D0D">
        <w:rPr>
          <w:b/>
          <w:sz w:val="26"/>
          <w:szCs w:val="26"/>
          <w:u w:val="single"/>
        </w:rPr>
        <w:t>In Conclusion:</w:t>
      </w:r>
    </w:p>
    <w:p w:rsidR="00A22D0D" w:rsidRDefault="00A476A6" w:rsidP="00551808">
      <w:pPr>
        <w:jc w:val="both"/>
      </w:pPr>
      <w:r w:rsidRPr="00A22D0D">
        <w:rPr>
          <w:b/>
        </w:rPr>
        <w:t xml:space="preserve">GPC believes that there are fundamental flaws in this Core Strategy despite the modifications. </w:t>
      </w:r>
      <w:r>
        <w:t xml:space="preserve">The lack of ambition with regard to infrastructure and facilities at this stage </w:t>
      </w:r>
      <w:r w:rsidR="00A22D0D">
        <w:t>jeopardise the social and environmental sustainability a large part of the Stratford District.</w:t>
      </w:r>
    </w:p>
    <w:p w:rsidR="00A476A6" w:rsidRDefault="00A22D0D" w:rsidP="00551808">
      <w:pPr>
        <w:jc w:val="both"/>
      </w:pPr>
      <w:r w:rsidRPr="00A22D0D">
        <w:rPr>
          <w:b/>
        </w:rPr>
        <w:t xml:space="preserve">The GLH proposals are </w:t>
      </w:r>
      <w:r>
        <w:rPr>
          <w:b/>
        </w:rPr>
        <w:t xml:space="preserve">especially </w:t>
      </w:r>
      <w:r w:rsidRPr="00A22D0D">
        <w:rPr>
          <w:b/>
        </w:rPr>
        <w:t>weak and need to made a lot more robust:</w:t>
      </w:r>
      <w:r>
        <w:t xml:space="preserve"> get it right and the housing needs are met: get it wrong and the plans will quickly unravel, there will be social costs that will need to mopped up and there are the economic costs associated with decades of disruption for the SDC powerhouses of JLR and AML.</w:t>
      </w:r>
    </w:p>
    <w:p w:rsidR="00A22D0D" w:rsidRPr="00600152" w:rsidRDefault="00A22D0D" w:rsidP="00551808">
      <w:pPr>
        <w:jc w:val="both"/>
        <w:rPr>
          <w:b/>
        </w:rPr>
      </w:pPr>
      <w:r w:rsidRPr="00600152">
        <w:rPr>
          <w:b/>
        </w:rPr>
        <w:t xml:space="preserve">GPC urges SDC to embrace suggestions </w:t>
      </w:r>
      <w:r w:rsidR="00600152" w:rsidRPr="00600152">
        <w:rPr>
          <w:b/>
        </w:rPr>
        <w:t xml:space="preserve">that have been carefully made </w:t>
      </w:r>
      <w:r w:rsidRPr="00600152">
        <w:rPr>
          <w:b/>
        </w:rPr>
        <w:t>rather than dismiss them out of hand</w:t>
      </w:r>
      <w:r w:rsidR="00600152" w:rsidRPr="00600152">
        <w:rPr>
          <w:b/>
        </w:rPr>
        <w:t xml:space="preserve"> by relying on assessments that give the answers that are more convenient.</w:t>
      </w:r>
    </w:p>
    <w:sectPr w:rsidR="00A22D0D" w:rsidRPr="006001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8CA"/>
    <w:multiLevelType w:val="hybridMultilevel"/>
    <w:tmpl w:val="6FBE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7E11E4"/>
    <w:multiLevelType w:val="hybridMultilevel"/>
    <w:tmpl w:val="12DA75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B201DF0"/>
    <w:multiLevelType w:val="hybridMultilevel"/>
    <w:tmpl w:val="2B20D446"/>
    <w:lvl w:ilvl="0" w:tplc="A3C66012">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4B3"/>
    <w:rsid w:val="00012CDE"/>
    <w:rsid w:val="00024EC6"/>
    <w:rsid w:val="00067739"/>
    <w:rsid w:val="000804B3"/>
    <w:rsid w:val="00093E0C"/>
    <w:rsid w:val="000D3A7C"/>
    <w:rsid w:val="000F166C"/>
    <w:rsid w:val="00106DA8"/>
    <w:rsid w:val="001337B0"/>
    <w:rsid w:val="001379EB"/>
    <w:rsid w:val="0017037A"/>
    <w:rsid w:val="002C3291"/>
    <w:rsid w:val="002D225C"/>
    <w:rsid w:val="003347F9"/>
    <w:rsid w:val="00377E8C"/>
    <w:rsid w:val="003F31AF"/>
    <w:rsid w:val="00455691"/>
    <w:rsid w:val="00473162"/>
    <w:rsid w:val="004B2575"/>
    <w:rsid w:val="004D5A34"/>
    <w:rsid w:val="00536B90"/>
    <w:rsid w:val="00544097"/>
    <w:rsid w:val="00551808"/>
    <w:rsid w:val="00597B5E"/>
    <w:rsid w:val="00600152"/>
    <w:rsid w:val="0064591B"/>
    <w:rsid w:val="006C0AB4"/>
    <w:rsid w:val="00765201"/>
    <w:rsid w:val="007914E5"/>
    <w:rsid w:val="007D5782"/>
    <w:rsid w:val="00821D47"/>
    <w:rsid w:val="008633F3"/>
    <w:rsid w:val="008B2DFF"/>
    <w:rsid w:val="00950AE3"/>
    <w:rsid w:val="009745DB"/>
    <w:rsid w:val="009E22E2"/>
    <w:rsid w:val="00A22D0D"/>
    <w:rsid w:val="00A248CD"/>
    <w:rsid w:val="00A35954"/>
    <w:rsid w:val="00A476A6"/>
    <w:rsid w:val="00A917FE"/>
    <w:rsid w:val="00A9192C"/>
    <w:rsid w:val="00B2361C"/>
    <w:rsid w:val="00B25A5C"/>
    <w:rsid w:val="00B26C31"/>
    <w:rsid w:val="00B4043D"/>
    <w:rsid w:val="00BE2E60"/>
    <w:rsid w:val="00C24EC4"/>
    <w:rsid w:val="00CB1A59"/>
    <w:rsid w:val="00CD48CE"/>
    <w:rsid w:val="00D0419D"/>
    <w:rsid w:val="00D210F4"/>
    <w:rsid w:val="00D526BA"/>
    <w:rsid w:val="00D6725E"/>
    <w:rsid w:val="00D85202"/>
    <w:rsid w:val="00D9776C"/>
    <w:rsid w:val="00E17B35"/>
    <w:rsid w:val="00E47C12"/>
    <w:rsid w:val="00E77FD8"/>
    <w:rsid w:val="00EE59C5"/>
    <w:rsid w:val="00F0069B"/>
    <w:rsid w:val="00F03314"/>
    <w:rsid w:val="00F04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0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67739"/>
    <w:pPr>
      <w:spacing w:after="0" w:line="240" w:lineRule="auto"/>
    </w:pPr>
  </w:style>
  <w:style w:type="paragraph" w:styleId="ListParagraph">
    <w:name w:val="List Paragraph"/>
    <w:basedOn w:val="Normal"/>
    <w:uiPriority w:val="34"/>
    <w:qFormat/>
    <w:rsid w:val="001337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0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67739"/>
    <w:pPr>
      <w:spacing w:after="0" w:line="240" w:lineRule="auto"/>
    </w:pPr>
  </w:style>
  <w:style w:type="paragraph" w:styleId="ListParagraph">
    <w:name w:val="List Paragraph"/>
    <w:basedOn w:val="Normal"/>
    <w:uiPriority w:val="34"/>
    <w:qFormat/>
    <w:rsid w:val="00133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3369</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dcterms:created xsi:type="dcterms:W3CDTF">2016-05-03T09:40:00Z</dcterms:created>
  <dcterms:modified xsi:type="dcterms:W3CDTF">2016-05-04T19:47:00Z</dcterms:modified>
</cp:coreProperties>
</file>